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1E" w:rsidRPr="00D9611E" w:rsidRDefault="00D9611E" w:rsidP="00D9611E">
      <w:pPr>
        <w:shd w:val="clear" w:color="auto" w:fill="FFFFFF"/>
        <w:spacing w:after="0" w:line="240" w:lineRule="auto"/>
        <w:rPr>
          <w:rFonts w:ascii="Arial" w:eastAsia="Times New Roman" w:hAnsi="Arial" w:cs="Arial"/>
          <w:color w:val="000000"/>
          <w:sz w:val="21"/>
          <w:szCs w:val="21"/>
          <w:lang w:eastAsia="tr-TR"/>
        </w:rPr>
      </w:pPr>
      <w:r w:rsidRPr="00D9611E">
        <w:rPr>
          <w:rFonts w:ascii="Arial" w:eastAsia="Times New Roman" w:hAnsi="Arial" w:cs="Arial"/>
          <w:color w:val="000000"/>
          <w:sz w:val="21"/>
          <w:szCs w:val="21"/>
          <w:lang w:eastAsia="tr-TR"/>
        </w:rPr>
        <w:t>Yıl: 2005Cilt: 0Sayı: 18ISSN: 1302-597XSayfa Aralığı: 28 - 40</w:t>
      </w:r>
    </w:p>
    <w:p w:rsidR="00D9611E" w:rsidRPr="00D9611E" w:rsidRDefault="00D9611E" w:rsidP="00D9611E">
      <w:pPr>
        <w:shd w:val="clear" w:color="auto" w:fill="FFFFFF"/>
        <w:spacing w:after="0" w:line="240" w:lineRule="auto"/>
        <w:rPr>
          <w:rFonts w:ascii="Arial" w:eastAsia="Times New Roman" w:hAnsi="Arial" w:cs="Arial"/>
          <w:color w:val="000000"/>
          <w:sz w:val="21"/>
          <w:szCs w:val="21"/>
          <w:lang w:eastAsia="tr-TR"/>
        </w:rPr>
      </w:pPr>
      <w:r w:rsidRPr="00D9611E">
        <w:rPr>
          <w:rFonts w:ascii="Arial" w:eastAsia="Times New Roman" w:hAnsi="Arial" w:cs="Arial"/>
          <w:color w:val="000000"/>
          <w:sz w:val="21"/>
          <w:szCs w:val="21"/>
          <w:lang w:eastAsia="tr-TR"/>
        </w:rPr>
        <w:t xml:space="preserve">Metin </w:t>
      </w:r>
      <w:proofErr w:type="spellStart"/>
      <w:proofErr w:type="gramStart"/>
      <w:r w:rsidRPr="00D9611E">
        <w:rPr>
          <w:rFonts w:ascii="Arial" w:eastAsia="Times New Roman" w:hAnsi="Arial" w:cs="Arial"/>
          <w:color w:val="000000"/>
          <w:sz w:val="21"/>
          <w:szCs w:val="21"/>
          <w:lang w:eastAsia="tr-TR"/>
        </w:rPr>
        <w:t>Dili:Türkçe</w:t>
      </w:r>
      <w:proofErr w:type="spellEnd"/>
      <w:proofErr w:type="gramEnd"/>
    </w:p>
    <w:p w:rsidR="00D9611E" w:rsidRPr="00D9611E" w:rsidRDefault="00D9611E" w:rsidP="00D9611E">
      <w:pPr>
        <w:shd w:val="clear" w:color="auto" w:fill="FFFFFF"/>
        <w:spacing w:after="0" w:line="240" w:lineRule="auto"/>
        <w:rPr>
          <w:rFonts w:ascii="Arial" w:eastAsia="Times New Roman" w:hAnsi="Arial" w:cs="Arial"/>
          <w:color w:val="000000"/>
          <w:sz w:val="21"/>
          <w:szCs w:val="21"/>
          <w:lang w:eastAsia="tr-TR"/>
        </w:rPr>
      </w:pPr>
      <w:proofErr w:type="spellStart"/>
      <w:proofErr w:type="gramStart"/>
      <w:r w:rsidRPr="00D9611E">
        <w:rPr>
          <w:rFonts w:ascii="Arial" w:eastAsia="Times New Roman" w:hAnsi="Arial" w:cs="Arial"/>
          <w:color w:val="000000"/>
          <w:sz w:val="21"/>
          <w:szCs w:val="21"/>
          <w:lang w:eastAsia="tr-TR"/>
        </w:rPr>
        <w:t>Öz:Bu</w:t>
      </w:r>
      <w:proofErr w:type="spellEnd"/>
      <w:proofErr w:type="gramEnd"/>
      <w:r w:rsidRPr="00D9611E">
        <w:rPr>
          <w:rFonts w:ascii="Arial" w:eastAsia="Times New Roman" w:hAnsi="Arial" w:cs="Arial"/>
          <w:color w:val="000000"/>
          <w:sz w:val="21"/>
          <w:szCs w:val="21"/>
          <w:lang w:eastAsia="tr-TR"/>
        </w:rPr>
        <w:t xml:space="preserve"> araştırmada, aynı değişkenlik kaynaklarının farklı düzeyleri için alternatif K Çalışmaları senaryolarıyla elde edilen G ve </w:t>
      </w:r>
      <w:proofErr w:type="spellStart"/>
      <w:r w:rsidRPr="00D9611E">
        <w:rPr>
          <w:rFonts w:ascii="Arial" w:eastAsia="Times New Roman" w:hAnsi="Arial" w:cs="Arial"/>
          <w:color w:val="000000"/>
          <w:sz w:val="21"/>
          <w:szCs w:val="21"/>
          <w:lang w:eastAsia="tr-TR"/>
        </w:rPr>
        <w:t>Phi</w:t>
      </w:r>
      <w:proofErr w:type="spellEnd"/>
      <w:r w:rsidRPr="00D9611E">
        <w:rPr>
          <w:rFonts w:ascii="Arial" w:eastAsia="Times New Roman" w:hAnsi="Arial" w:cs="Arial"/>
          <w:color w:val="000000"/>
          <w:sz w:val="21"/>
          <w:szCs w:val="21"/>
          <w:lang w:eastAsia="tr-TR"/>
        </w:rPr>
        <w:t xml:space="preserve"> katsayıları ile aynı değişkenlik kaynaklarının aynı düzeyleriyle gerçekte uygulanması sonucunda elde edilen G ve </w:t>
      </w:r>
      <w:proofErr w:type="spellStart"/>
      <w:r w:rsidRPr="00D9611E">
        <w:rPr>
          <w:rFonts w:ascii="Arial" w:eastAsia="Times New Roman" w:hAnsi="Arial" w:cs="Arial"/>
          <w:color w:val="000000"/>
          <w:sz w:val="21"/>
          <w:szCs w:val="21"/>
          <w:lang w:eastAsia="tr-TR"/>
        </w:rPr>
        <w:t>Phi</w:t>
      </w:r>
      <w:proofErr w:type="spellEnd"/>
      <w:r w:rsidRPr="00D9611E">
        <w:rPr>
          <w:rFonts w:ascii="Arial" w:eastAsia="Times New Roman" w:hAnsi="Arial" w:cs="Arial"/>
          <w:color w:val="000000"/>
          <w:sz w:val="21"/>
          <w:szCs w:val="21"/>
          <w:lang w:eastAsia="tr-TR"/>
        </w:rPr>
        <w:t xml:space="preserve"> katsayılarının tutarlılıkları karşılaştırılmıştır. Araştırmada müzik öğretmenliği programına öğrenci seçmek amacı ile yapılan özel yetenek seçme sınavlarının ardışık iki yıl verileri kullanılmıştır. Bu sınavlarda ortak boyut olan çift ses, ezgi ve tartım boyutları bir yıl üç </w:t>
      </w:r>
      <w:proofErr w:type="spellStart"/>
      <w:r w:rsidRPr="00D9611E">
        <w:rPr>
          <w:rFonts w:ascii="Arial" w:eastAsia="Times New Roman" w:hAnsi="Arial" w:cs="Arial"/>
          <w:color w:val="000000"/>
          <w:sz w:val="21"/>
          <w:szCs w:val="21"/>
          <w:lang w:eastAsia="tr-TR"/>
        </w:rPr>
        <w:t>puanlayıcı</w:t>
      </w:r>
      <w:proofErr w:type="spellEnd"/>
      <w:r w:rsidRPr="00D9611E">
        <w:rPr>
          <w:rFonts w:ascii="Arial" w:eastAsia="Times New Roman" w:hAnsi="Arial" w:cs="Arial"/>
          <w:color w:val="000000"/>
          <w:sz w:val="21"/>
          <w:szCs w:val="21"/>
          <w:lang w:eastAsia="tr-TR"/>
        </w:rPr>
        <w:t xml:space="preserve"> diğer yıl ise dört </w:t>
      </w:r>
      <w:proofErr w:type="spellStart"/>
      <w:r w:rsidRPr="00D9611E">
        <w:rPr>
          <w:rFonts w:ascii="Arial" w:eastAsia="Times New Roman" w:hAnsi="Arial" w:cs="Arial"/>
          <w:color w:val="000000"/>
          <w:sz w:val="21"/>
          <w:szCs w:val="21"/>
          <w:lang w:eastAsia="tr-TR"/>
        </w:rPr>
        <w:t>puanlayıcı</w:t>
      </w:r>
      <w:proofErr w:type="spellEnd"/>
      <w:r w:rsidRPr="00D9611E">
        <w:rPr>
          <w:rFonts w:ascii="Arial" w:eastAsia="Times New Roman" w:hAnsi="Arial" w:cs="Arial"/>
          <w:color w:val="000000"/>
          <w:sz w:val="21"/>
          <w:szCs w:val="21"/>
          <w:lang w:eastAsia="tr-TR"/>
        </w:rPr>
        <w:t xml:space="preserve"> tarafından </w:t>
      </w:r>
      <w:proofErr w:type="spellStart"/>
      <w:r w:rsidRPr="00D9611E">
        <w:rPr>
          <w:rFonts w:ascii="Arial" w:eastAsia="Times New Roman" w:hAnsi="Arial" w:cs="Arial"/>
          <w:color w:val="000000"/>
          <w:sz w:val="21"/>
          <w:szCs w:val="21"/>
          <w:lang w:eastAsia="tr-TR"/>
        </w:rPr>
        <w:t>puanlanılmıştır</w:t>
      </w:r>
      <w:proofErr w:type="spellEnd"/>
      <w:r w:rsidRPr="00D9611E">
        <w:rPr>
          <w:rFonts w:ascii="Arial" w:eastAsia="Times New Roman" w:hAnsi="Arial" w:cs="Arial"/>
          <w:color w:val="000000"/>
          <w:sz w:val="21"/>
          <w:szCs w:val="21"/>
          <w:lang w:eastAsia="tr-TR"/>
        </w:rPr>
        <w:t xml:space="preserve">. Araştırmada kullanılan özel yetenek sınavlarının alt boyutlardan oluşması nedeniyle, birey (b), görev (g) ve </w:t>
      </w:r>
      <w:proofErr w:type="spellStart"/>
      <w:r w:rsidRPr="00D9611E">
        <w:rPr>
          <w:rFonts w:ascii="Arial" w:eastAsia="Times New Roman" w:hAnsi="Arial" w:cs="Arial"/>
          <w:color w:val="000000"/>
          <w:sz w:val="21"/>
          <w:szCs w:val="21"/>
          <w:lang w:eastAsia="tr-TR"/>
        </w:rPr>
        <w:t>puanlayıcı</w:t>
      </w:r>
      <w:proofErr w:type="spellEnd"/>
      <w:r w:rsidRPr="00D9611E">
        <w:rPr>
          <w:rFonts w:ascii="Arial" w:eastAsia="Times New Roman" w:hAnsi="Arial" w:cs="Arial"/>
          <w:color w:val="000000"/>
          <w:sz w:val="21"/>
          <w:szCs w:val="21"/>
          <w:lang w:eastAsia="tr-TR"/>
        </w:rPr>
        <w:t xml:space="preserve"> (p) değişkenlik kaynağı (</w:t>
      </w:r>
      <w:proofErr w:type="spellStart"/>
      <w:r w:rsidRPr="00D9611E">
        <w:rPr>
          <w:rFonts w:ascii="Arial" w:eastAsia="Times New Roman" w:hAnsi="Arial" w:cs="Arial"/>
          <w:color w:val="000000"/>
          <w:sz w:val="21"/>
          <w:szCs w:val="21"/>
          <w:lang w:eastAsia="tr-TR"/>
        </w:rPr>
        <w:t>facets</w:t>
      </w:r>
      <w:proofErr w:type="spellEnd"/>
      <w:r w:rsidRPr="00D9611E">
        <w:rPr>
          <w:rFonts w:ascii="Arial" w:eastAsia="Times New Roman" w:hAnsi="Arial" w:cs="Arial"/>
          <w:color w:val="000000"/>
          <w:sz w:val="21"/>
          <w:szCs w:val="21"/>
          <w:lang w:eastAsia="tr-TR"/>
        </w:rPr>
        <w:t>) olmak üzere, G-kuramının çok değişkenli (</w:t>
      </w:r>
      <w:proofErr w:type="spellStart"/>
      <w:r w:rsidRPr="00D9611E">
        <w:rPr>
          <w:rFonts w:ascii="MathJax_Math-italic" w:eastAsia="Times New Roman" w:hAnsi="MathJax_Math-italic" w:cs="Arial"/>
          <w:color w:val="000000"/>
          <w:sz w:val="25"/>
          <w:szCs w:val="25"/>
          <w:bdr w:val="none" w:sz="0" w:space="0" w:color="auto" w:frame="1"/>
          <w:lang w:eastAsia="tr-TR"/>
        </w:rPr>
        <w:t>b</w:t>
      </w:r>
      <w:r w:rsidRPr="00D9611E">
        <w:rPr>
          <w:rFonts w:ascii="MathJax_Main" w:eastAsia="Times New Roman" w:hAnsi="MathJax_Main" w:cs="Arial"/>
          <w:color w:val="000000"/>
          <w:sz w:val="18"/>
          <w:szCs w:val="18"/>
          <w:bdr w:val="none" w:sz="0" w:space="0" w:color="auto" w:frame="1"/>
          <w:lang w:eastAsia="tr-TR"/>
        </w:rPr>
        <w:t>.</w:t>
      </w:r>
      <w:r w:rsidRPr="00D9611E">
        <w:rPr>
          <w:rFonts w:ascii="MathJax_Math-italic" w:eastAsia="Times New Roman" w:hAnsi="MathJax_Math-italic" w:cs="Arial"/>
          <w:color w:val="000000"/>
          <w:sz w:val="25"/>
          <w:szCs w:val="25"/>
          <w:bdr w:val="none" w:sz="0" w:space="0" w:color="auto" w:frame="1"/>
          <w:lang w:eastAsia="tr-TR"/>
        </w:rPr>
        <w:t>xg</w:t>
      </w:r>
      <w:r w:rsidRPr="00D9611E">
        <w:rPr>
          <w:rFonts w:ascii="MathJax_Math-italic" w:eastAsia="Times New Roman" w:hAnsi="MathJax_Math-italic" w:cs="Arial"/>
          <w:color w:val="000000"/>
          <w:sz w:val="18"/>
          <w:szCs w:val="18"/>
          <w:bdr w:val="none" w:sz="0" w:space="0" w:color="auto" w:frame="1"/>
          <w:lang w:eastAsia="tr-TR"/>
        </w:rPr>
        <w:t>o</w:t>
      </w:r>
      <w:r w:rsidRPr="00D9611E">
        <w:rPr>
          <w:rFonts w:ascii="MathJax_Math-italic" w:eastAsia="Times New Roman" w:hAnsi="MathJax_Math-italic" w:cs="Arial"/>
          <w:color w:val="000000"/>
          <w:sz w:val="25"/>
          <w:szCs w:val="25"/>
          <w:bdr w:val="none" w:sz="0" w:space="0" w:color="auto" w:frame="1"/>
          <w:lang w:eastAsia="tr-TR"/>
        </w:rPr>
        <w:t>xp</w:t>
      </w:r>
      <w:proofErr w:type="spellEnd"/>
      <w:r w:rsidRPr="00D9611E">
        <w:rPr>
          <w:rFonts w:ascii="MathJax_Main" w:eastAsia="Times New Roman" w:hAnsi="MathJax_Main" w:cs="Arial"/>
          <w:color w:val="000000"/>
          <w:sz w:val="18"/>
          <w:szCs w:val="18"/>
          <w:bdr w:val="none" w:sz="0" w:space="0" w:color="auto" w:frame="1"/>
          <w:lang w:eastAsia="tr-TR"/>
        </w:rPr>
        <w:t>.</w:t>
      </w:r>
      <w:r w:rsidRPr="00D9611E">
        <w:rPr>
          <w:rFonts w:ascii="Arial" w:eastAsia="Times New Roman" w:hAnsi="Arial" w:cs="Arial"/>
          <w:color w:val="000000"/>
          <w:sz w:val="21"/>
          <w:szCs w:val="21"/>
          <w:lang w:eastAsia="tr-TR"/>
        </w:rPr>
        <w:t xml:space="preserve">) deseni kullanılmıştır. Üç </w:t>
      </w:r>
      <w:proofErr w:type="spellStart"/>
      <w:r w:rsidRPr="00D9611E">
        <w:rPr>
          <w:rFonts w:ascii="Arial" w:eastAsia="Times New Roman" w:hAnsi="Arial" w:cs="Arial"/>
          <w:color w:val="000000"/>
          <w:sz w:val="21"/>
          <w:szCs w:val="21"/>
          <w:lang w:eastAsia="tr-TR"/>
        </w:rPr>
        <w:t>puanlayıcı</w:t>
      </w:r>
      <w:proofErr w:type="spellEnd"/>
      <w:r w:rsidRPr="00D9611E">
        <w:rPr>
          <w:rFonts w:ascii="Arial" w:eastAsia="Times New Roman" w:hAnsi="Arial" w:cs="Arial"/>
          <w:color w:val="000000"/>
          <w:sz w:val="21"/>
          <w:szCs w:val="21"/>
          <w:lang w:eastAsia="tr-TR"/>
        </w:rPr>
        <w:t xml:space="preserve"> sınav durumundan dört </w:t>
      </w:r>
      <w:proofErr w:type="spellStart"/>
      <w:r w:rsidRPr="00D9611E">
        <w:rPr>
          <w:rFonts w:ascii="Arial" w:eastAsia="Times New Roman" w:hAnsi="Arial" w:cs="Arial"/>
          <w:color w:val="000000"/>
          <w:sz w:val="21"/>
          <w:szCs w:val="21"/>
          <w:lang w:eastAsia="tr-TR"/>
        </w:rPr>
        <w:t>puanlayıcı</w:t>
      </w:r>
      <w:proofErr w:type="spellEnd"/>
      <w:r w:rsidRPr="00D9611E">
        <w:rPr>
          <w:rFonts w:ascii="Arial" w:eastAsia="Times New Roman" w:hAnsi="Arial" w:cs="Arial"/>
          <w:color w:val="000000"/>
          <w:sz w:val="21"/>
          <w:szCs w:val="21"/>
          <w:lang w:eastAsia="tr-TR"/>
        </w:rPr>
        <w:t xml:space="preserve"> sınav durumunun ve dört </w:t>
      </w:r>
      <w:proofErr w:type="spellStart"/>
      <w:r w:rsidRPr="00D9611E">
        <w:rPr>
          <w:rFonts w:ascii="Arial" w:eastAsia="Times New Roman" w:hAnsi="Arial" w:cs="Arial"/>
          <w:color w:val="000000"/>
          <w:sz w:val="21"/>
          <w:szCs w:val="21"/>
          <w:lang w:eastAsia="tr-TR"/>
        </w:rPr>
        <w:t>puanlayıcılı</w:t>
      </w:r>
      <w:proofErr w:type="spellEnd"/>
      <w:r w:rsidRPr="00D9611E">
        <w:rPr>
          <w:rFonts w:ascii="Arial" w:eastAsia="Times New Roman" w:hAnsi="Arial" w:cs="Arial"/>
          <w:color w:val="000000"/>
          <w:sz w:val="21"/>
          <w:szCs w:val="21"/>
          <w:lang w:eastAsia="tr-TR"/>
        </w:rPr>
        <w:t xml:space="preserve"> sınav durumundan üç </w:t>
      </w:r>
      <w:proofErr w:type="spellStart"/>
      <w:r w:rsidRPr="00D9611E">
        <w:rPr>
          <w:rFonts w:ascii="Arial" w:eastAsia="Times New Roman" w:hAnsi="Arial" w:cs="Arial"/>
          <w:color w:val="000000"/>
          <w:sz w:val="21"/>
          <w:szCs w:val="21"/>
          <w:lang w:eastAsia="tr-TR"/>
        </w:rPr>
        <w:t>puanlayıcı</w:t>
      </w:r>
      <w:proofErr w:type="spellEnd"/>
      <w:r w:rsidRPr="00D9611E">
        <w:rPr>
          <w:rFonts w:ascii="Arial" w:eastAsia="Times New Roman" w:hAnsi="Arial" w:cs="Arial"/>
          <w:color w:val="000000"/>
          <w:sz w:val="21"/>
          <w:szCs w:val="21"/>
          <w:lang w:eastAsia="tr-TR"/>
        </w:rPr>
        <w:t xml:space="preserve"> sınav durumunun G ve </w:t>
      </w:r>
      <w:proofErr w:type="spellStart"/>
      <w:r w:rsidRPr="00D9611E">
        <w:rPr>
          <w:rFonts w:ascii="Arial" w:eastAsia="Times New Roman" w:hAnsi="Arial" w:cs="Arial"/>
          <w:color w:val="000000"/>
          <w:sz w:val="21"/>
          <w:szCs w:val="21"/>
          <w:lang w:eastAsia="tr-TR"/>
        </w:rPr>
        <w:t>Phi</w:t>
      </w:r>
      <w:proofErr w:type="spellEnd"/>
      <w:r w:rsidRPr="00D9611E">
        <w:rPr>
          <w:rFonts w:ascii="Arial" w:eastAsia="Times New Roman" w:hAnsi="Arial" w:cs="Arial"/>
          <w:color w:val="000000"/>
          <w:sz w:val="21"/>
          <w:szCs w:val="21"/>
          <w:lang w:eastAsia="tr-TR"/>
        </w:rPr>
        <w:t xml:space="preserve"> katsayıları hesaplanarak, senaryolarla elde edilen katsayılarla gerçekleşenler karşılaştırılmıştır. Sonuç olarak; </w:t>
      </w:r>
      <w:proofErr w:type="spellStart"/>
      <w:r w:rsidRPr="00D9611E">
        <w:rPr>
          <w:rFonts w:ascii="Arial" w:eastAsia="Times New Roman" w:hAnsi="Arial" w:cs="Arial"/>
          <w:color w:val="000000"/>
          <w:sz w:val="21"/>
          <w:szCs w:val="21"/>
          <w:lang w:eastAsia="tr-TR"/>
        </w:rPr>
        <w:t>puanlayıcı</w:t>
      </w:r>
      <w:proofErr w:type="spellEnd"/>
      <w:r w:rsidRPr="00D9611E">
        <w:rPr>
          <w:rFonts w:ascii="Arial" w:eastAsia="Times New Roman" w:hAnsi="Arial" w:cs="Arial"/>
          <w:color w:val="000000"/>
          <w:sz w:val="21"/>
          <w:szCs w:val="21"/>
          <w:lang w:eastAsia="tr-TR"/>
        </w:rPr>
        <w:t xml:space="preserve"> sayısının artırılması senaryosu ile kestirilen G ve </w:t>
      </w:r>
      <w:proofErr w:type="spellStart"/>
      <w:r w:rsidRPr="00D9611E">
        <w:rPr>
          <w:rFonts w:ascii="Arial" w:eastAsia="Times New Roman" w:hAnsi="Arial" w:cs="Arial"/>
          <w:color w:val="000000"/>
          <w:sz w:val="21"/>
          <w:szCs w:val="21"/>
          <w:lang w:eastAsia="tr-TR"/>
        </w:rPr>
        <w:t>Phi</w:t>
      </w:r>
      <w:proofErr w:type="spellEnd"/>
      <w:r w:rsidRPr="00D9611E">
        <w:rPr>
          <w:rFonts w:ascii="Arial" w:eastAsia="Times New Roman" w:hAnsi="Arial" w:cs="Arial"/>
          <w:color w:val="000000"/>
          <w:sz w:val="21"/>
          <w:szCs w:val="21"/>
          <w:lang w:eastAsia="tr-TR"/>
        </w:rPr>
        <w:t xml:space="preserve"> katsayılarının gerçekten büyük, </w:t>
      </w:r>
      <w:proofErr w:type="spellStart"/>
      <w:r w:rsidRPr="00D9611E">
        <w:rPr>
          <w:rFonts w:ascii="Arial" w:eastAsia="Times New Roman" w:hAnsi="Arial" w:cs="Arial"/>
          <w:color w:val="000000"/>
          <w:sz w:val="21"/>
          <w:szCs w:val="21"/>
          <w:lang w:eastAsia="tr-TR"/>
        </w:rPr>
        <w:t>puanlayıcı</w:t>
      </w:r>
      <w:proofErr w:type="spellEnd"/>
      <w:r w:rsidRPr="00D9611E">
        <w:rPr>
          <w:rFonts w:ascii="Arial" w:eastAsia="Times New Roman" w:hAnsi="Arial" w:cs="Arial"/>
          <w:color w:val="000000"/>
          <w:sz w:val="21"/>
          <w:szCs w:val="21"/>
          <w:lang w:eastAsia="tr-TR"/>
        </w:rPr>
        <w:t xml:space="preserve"> sayısının azaltılması yoluyla kestirilen G ve </w:t>
      </w:r>
      <w:proofErr w:type="spellStart"/>
      <w:r w:rsidRPr="00D9611E">
        <w:rPr>
          <w:rFonts w:ascii="Arial" w:eastAsia="Times New Roman" w:hAnsi="Arial" w:cs="Arial"/>
          <w:color w:val="000000"/>
          <w:sz w:val="21"/>
          <w:szCs w:val="21"/>
          <w:lang w:eastAsia="tr-TR"/>
        </w:rPr>
        <w:t>Phi</w:t>
      </w:r>
      <w:proofErr w:type="spellEnd"/>
      <w:r w:rsidRPr="00D9611E">
        <w:rPr>
          <w:rFonts w:ascii="Arial" w:eastAsia="Times New Roman" w:hAnsi="Arial" w:cs="Arial"/>
          <w:color w:val="000000"/>
          <w:sz w:val="21"/>
          <w:szCs w:val="21"/>
          <w:lang w:eastAsia="tr-TR"/>
        </w:rPr>
        <w:t xml:space="preserve"> katsayılarının ise gerçekte olduğundan küçük çıktığı görülmüştür.</w:t>
      </w:r>
    </w:p>
    <w:p w:rsidR="00D9611E" w:rsidRPr="00D9611E" w:rsidRDefault="00D9611E" w:rsidP="00D9611E">
      <w:pPr>
        <w:shd w:val="clear" w:color="auto" w:fill="FFFFFF"/>
        <w:spacing w:after="0" w:line="240" w:lineRule="auto"/>
        <w:rPr>
          <w:rFonts w:ascii="Arial" w:eastAsia="Times New Roman" w:hAnsi="Arial" w:cs="Arial"/>
          <w:color w:val="000000"/>
          <w:sz w:val="21"/>
          <w:szCs w:val="21"/>
          <w:lang w:eastAsia="tr-TR"/>
        </w:rPr>
      </w:pPr>
      <w:r w:rsidRPr="00D9611E">
        <w:rPr>
          <w:rFonts w:ascii="Arial" w:eastAsia="Times New Roman" w:hAnsi="Arial" w:cs="Arial"/>
          <w:color w:val="000000"/>
          <w:sz w:val="21"/>
          <w:szCs w:val="21"/>
          <w:lang w:eastAsia="tr-TR"/>
        </w:rPr>
        <w:t xml:space="preserve">Başlık (İngilizce):An </w:t>
      </w:r>
      <w:proofErr w:type="spellStart"/>
      <w:r w:rsidRPr="00D9611E">
        <w:rPr>
          <w:rFonts w:ascii="Arial" w:eastAsia="Times New Roman" w:hAnsi="Arial" w:cs="Arial"/>
          <w:color w:val="000000"/>
          <w:sz w:val="21"/>
          <w:szCs w:val="21"/>
          <w:lang w:eastAsia="tr-TR"/>
        </w:rPr>
        <w:t>Investigation</w:t>
      </w:r>
      <w:proofErr w:type="spellEnd"/>
      <w:r w:rsidRPr="00D9611E">
        <w:rPr>
          <w:rFonts w:ascii="Arial" w:eastAsia="Times New Roman" w:hAnsi="Arial" w:cs="Arial"/>
          <w:color w:val="000000"/>
          <w:sz w:val="21"/>
          <w:szCs w:val="21"/>
          <w:lang w:eastAsia="tr-TR"/>
        </w:rPr>
        <w:t xml:space="preserve"> on </w:t>
      </w:r>
      <w:proofErr w:type="spellStart"/>
      <w:r w:rsidRPr="00D9611E">
        <w:rPr>
          <w:rFonts w:ascii="Arial" w:eastAsia="Times New Roman" w:hAnsi="Arial" w:cs="Arial"/>
          <w:color w:val="000000"/>
          <w:sz w:val="21"/>
          <w:szCs w:val="21"/>
          <w:lang w:eastAsia="tr-TR"/>
        </w:rPr>
        <w:t>Consistency</w:t>
      </w:r>
      <w:proofErr w:type="spellEnd"/>
      <w:r w:rsidRPr="00D9611E">
        <w:rPr>
          <w:rFonts w:ascii="Arial" w:eastAsia="Times New Roman" w:hAnsi="Arial" w:cs="Arial"/>
          <w:color w:val="000000"/>
          <w:sz w:val="21"/>
          <w:szCs w:val="21"/>
          <w:lang w:eastAsia="tr-TR"/>
        </w:rPr>
        <w:t xml:space="preserve"> of G </w:t>
      </w:r>
      <w:proofErr w:type="spellStart"/>
      <w:r w:rsidRPr="00D9611E">
        <w:rPr>
          <w:rFonts w:ascii="Arial" w:eastAsia="Times New Roman" w:hAnsi="Arial" w:cs="Arial"/>
          <w:color w:val="000000"/>
          <w:sz w:val="21"/>
          <w:szCs w:val="21"/>
          <w:lang w:eastAsia="tr-TR"/>
        </w:rPr>
        <w:t>and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Phi</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Coefficients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Obtained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by</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Generalizability</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Theory</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Alternative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Decisions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Study</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for</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Scenarios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and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Actual</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Cases</w:t>
      </w:r>
      <w:proofErr w:type="spellEnd"/>
    </w:p>
    <w:p w:rsidR="00D9611E" w:rsidRPr="00D9611E" w:rsidRDefault="00D9611E" w:rsidP="00D9611E">
      <w:pPr>
        <w:shd w:val="clear" w:color="auto" w:fill="FFFFFF"/>
        <w:spacing w:after="0" w:line="240" w:lineRule="auto"/>
        <w:rPr>
          <w:rFonts w:ascii="Arial" w:eastAsia="Times New Roman" w:hAnsi="Arial" w:cs="Arial"/>
          <w:color w:val="000000"/>
          <w:sz w:val="21"/>
          <w:szCs w:val="21"/>
          <w:lang w:eastAsia="tr-TR"/>
        </w:rPr>
      </w:pPr>
      <w:r w:rsidRPr="00D9611E">
        <w:rPr>
          <w:rFonts w:ascii="Arial" w:eastAsia="Times New Roman" w:hAnsi="Arial" w:cs="Arial"/>
          <w:color w:val="000000"/>
          <w:sz w:val="21"/>
          <w:szCs w:val="21"/>
          <w:lang w:eastAsia="tr-TR"/>
        </w:rPr>
        <w:t>Öz (İngilizce):</w:t>
      </w:r>
      <w:proofErr w:type="spellStart"/>
      <w:r w:rsidRPr="00D9611E">
        <w:rPr>
          <w:rFonts w:ascii="Arial" w:eastAsia="Times New Roman" w:hAnsi="Arial" w:cs="Arial"/>
          <w:color w:val="000000"/>
          <w:sz w:val="21"/>
          <w:szCs w:val="21"/>
          <w:lang w:eastAsia="tr-TR"/>
        </w:rPr>
        <w:t>In</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this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research</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consistency</w:t>
      </w:r>
      <w:proofErr w:type="spellEnd"/>
      <w:r w:rsidRPr="00D9611E">
        <w:rPr>
          <w:rFonts w:ascii="Arial" w:eastAsia="Times New Roman" w:hAnsi="Arial" w:cs="Arial"/>
          <w:color w:val="000000"/>
          <w:sz w:val="21"/>
          <w:szCs w:val="21"/>
          <w:lang w:eastAsia="tr-TR"/>
        </w:rPr>
        <w:t xml:space="preserve"> of G </w:t>
      </w:r>
      <w:proofErr w:type="spellStart"/>
      <w:r w:rsidRPr="00D9611E">
        <w:rPr>
          <w:rFonts w:ascii="Arial" w:eastAsia="Times New Roman" w:hAnsi="Arial" w:cs="Arial"/>
          <w:color w:val="000000"/>
          <w:sz w:val="21"/>
          <w:szCs w:val="21"/>
          <w:lang w:eastAsia="tr-TR"/>
        </w:rPr>
        <w:t>and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Phi</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coefficients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obtained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by</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alternative</w:t>
      </w:r>
      <w:proofErr w:type="spellEnd"/>
      <w:r w:rsidRPr="00D9611E">
        <w:rPr>
          <w:rFonts w:ascii="Arial" w:eastAsia="Times New Roman" w:hAnsi="Arial" w:cs="Arial"/>
          <w:color w:val="000000"/>
          <w:sz w:val="21"/>
          <w:szCs w:val="21"/>
          <w:lang w:eastAsia="tr-TR"/>
        </w:rPr>
        <w:t xml:space="preserve"> D-</w:t>
      </w:r>
      <w:proofErr w:type="spellStart"/>
      <w:r w:rsidRPr="00D9611E">
        <w:rPr>
          <w:rFonts w:ascii="Arial" w:eastAsia="Times New Roman" w:hAnsi="Arial" w:cs="Arial"/>
          <w:color w:val="000000"/>
          <w:sz w:val="21"/>
          <w:szCs w:val="21"/>
          <w:lang w:eastAsia="tr-TR"/>
        </w:rPr>
        <w:t>study</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scenarios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for</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different</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conditions</w:t>
      </w:r>
      <w:proofErr w:type="spellEnd"/>
      <w:r w:rsidRPr="00D9611E">
        <w:rPr>
          <w:rFonts w:ascii="Arial" w:eastAsia="Times New Roman" w:hAnsi="Arial" w:cs="Arial"/>
          <w:color w:val="000000"/>
          <w:sz w:val="21"/>
          <w:szCs w:val="21"/>
          <w:lang w:eastAsia="tr-TR"/>
        </w:rPr>
        <w:t xml:space="preserve"> of </w:t>
      </w:r>
      <w:proofErr w:type="spellStart"/>
      <w:r w:rsidRPr="00D9611E">
        <w:rPr>
          <w:rFonts w:ascii="Arial" w:eastAsia="Times New Roman" w:hAnsi="Arial" w:cs="Arial"/>
          <w:color w:val="000000"/>
          <w:sz w:val="21"/>
          <w:szCs w:val="21"/>
          <w:lang w:eastAsia="tr-TR"/>
        </w:rPr>
        <w:t>similar</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facets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was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compared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with</w:t>
      </w:r>
      <w:proofErr w:type="spellEnd"/>
      <w:r w:rsidRPr="00D9611E">
        <w:rPr>
          <w:rFonts w:ascii="Arial" w:eastAsia="Times New Roman" w:hAnsi="Arial" w:cs="Arial"/>
          <w:color w:val="000000"/>
          <w:sz w:val="21"/>
          <w:szCs w:val="21"/>
          <w:lang w:eastAsia="tr-TR"/>
        </w:rPr>
        <w:t xml:space="preserve"> G </w:t>
      </w:r>
      <w:proofErr w:type="spellStart"/>
      <w:r w:rsidRPr="00D9611E">
        <w:rPr>
          <w:rFonts w:ascii="Arial" w:eastAsia="Times New Roman" w:hAnsi="Arial" w:cs="Arial"/>
          <w:color w:val="000000"/>
          <w:sz w:val="21"/>
          <w:szCs w:val="21"/>
          <w:lang w:eastAsia="tr-TR"/>
        </w:rPr>
        <w:t>and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Phi</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coefficient</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obtained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by</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actual</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cases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for</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the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same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conditions</w:t>
      </w:r>
      <w:proofErr w:type="spellEnd"/>
      <w:r w:rsidRPr="00D9611E">
        <w:rPr>
          <w:rFonts w:ascii="Arial" w:eastAsia="Times New Roman" w:hAnsi="Arial" w:cs="Arial"/>
          <w:color w:val="000000"/>
          <w:sz w:val="21"/>
          <w:szCs w:val="21"/>
          <w:lang w:eastAsia="tr-TR"/>
        </w:rPr>
        <w:t xml:space="preserve"> of </w:t>
      </w:r>
      <w:proofErr w:type="spellStart"/>
      <w:r w:rsidRPr="00D9611E">
        <w:rPr>
          <w:rFonts w:ascii="Arial" w:eastAsia="Times New Roman" w:hAnsi="Arial" w:cs="Arial"/>
          <w:color w:val="000000"/>
          <w:sz w:val="21"/>
          <w:szCs w:val="21"/>
          <w:lang w:eastAsia="tr-TR"/>
        </w:rPr>
        <w:t>similar</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facets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In</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the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research</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the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date</w:t>
      </w:r>
      <w:proofErr w:type="spellEnd"/>
      <w:r w:rsidRPr="00D9611E">
        <w:rPr>
          <w:rFonts w:ascii="Arial" w:eastAsia="Times New Roman" w:hAnsi="Arial" w:cs="Arial"/>
          <w:color w:val="000000"/>
          <w:sz w:val="21"/>
          <w:szCs w:val="21"/>
          <w:lang w:eastAsia="tr-TR"/>
        </w:rPr>
        <w:t xml:space="preserve"> of </w:t>
      </w:r>
      <w:proofErr w:type="spellStart"/>
      <w:r w:rsidRPr="00D9611E">
        <w:rPr>
          <w:rFonts w:ascii="Arial" w:eastAsia="Times New Roman" w:hAnsi="Arial" w:cs="Arial"/>
          <w:color w:val="000000"/>
          <w:sz w:val="21"/>
          <w:szCs w:val="21"/>
          <w:lang w:eastAsia="tr-TR"/>
        </w:rPr>
        <w:t>consecutive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years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for</w:t>
      </w:r>
      <w:proofErr w:type="spellEnd"/>
      <w:r w:rsidRPr="00D9611E">
        <w:rPr>
          <w:rFonts w:ascii="Arial" w:eastAsia="Times New Roman" w:hAnsi="Arial" w:cs="Arial"/>
          <w:color w:val="000000"/>
          <w:sz w:val="21"/>
          <w:szCs w:val="21"/>
          <w:lang w:eastAsia="tr-TR"/>
        </w:rPr>
        <w:t xml:space="preserve"> &amp;</w:t>
      </w:r>
      <w:proofErr w:type="spellStart"/>
      <w:proofErr w:type="gramStart"/>
      <w:r w:rsidRPr="00D9611E">
        <w:rPr>
          <w:rFonts w:ascii="Arial" w:eastAsia="Times New Roman" w:hAnsi="Arial" w:cs="Arial"/>
          <w:color w:val="000000"/>
          <w:sz w:val="21"/>
          <w:szCs w:val="21"/>
          <w:lang w:eastAsia="tr-TR"/>
        </w:rPr>
        <w:t>quot;Special</w:t>
      </w:r>
      <w:proofErr w:type="spellEnd"/>
      <w:proofErr w:type="gram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Ability</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Selection</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Examination&amp;quot</w:t>
      </w:r>
      <w:proofErr w:type="spellEnd"/>
      <w:r w:rsidRPr="00D9611E">
        <w:rPr>
          <w:rFonts w:ascii="Arial" w:eastAsia="Times New Roman" w:hAnsi="Arial" w:cs="Arial"/>
          <w:color w:val="000000"/>
          <w:sz w:val="21"/>
          <w:szCs w:val="21"/>
          <w:lang w:eastAsia="tr-TR"/>
        </w:rPr>
        <w:t xml:space="preserve">; in </w:t>
      </w:r>
      <w:proofErr w:type="spellStart"/>
      <w:r w:rsidRPr="00D9611E">
        <w:rPr>
          <w:rFonts w:ascii="Arial" w:eastAsia="Times New Roman" w:hAnsi="Arial" w:cs="Arial"/>
          <w:color w:val="000000"/>
          <w:sz w:val="21"/>
          <w:szCs w:val="21"/>
          <w:lang w:eastAsia="tr-TR"/>
        </w:rPr>
        <w:t>order</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to</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make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selection</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among</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the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candidate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students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for</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the</w:t>
      </w:r>
      <w:proofErr w:type="spellEnd"/>
      <w:r w:rsidRPr="00D9611E">
        <w:rPr>
          <w:rFonts w:ascii="Arial" w:eastAsia="Times New Roman" w:hAnsi="Arial" w:cs="Arial"/>
          <w:color w:val="000000"/>
          <w:sz w:val="21"/>
          <w:szCs w:val="21"/>
          <w:lang w:eastAsia="tr-TR"/>
        </w:rPr>
        <w:t xml:space="preserve"> program of </w:t>
      </w:r>
      <w:proofErr w:type="spellStart"/>
      <w:r w:rsidRPr="00D9611E">
        <w:rPr>
          <w:rFonts w:ascii="Arial" w:eastAsia="Times New Roman" w:hAnsi="Arial" w:cs="Arial"/>
          <w:color w:val="000000"/>
          <w:sz w:val="21"/>
          <w:szCs w:val="21"/>
          <w:lang w:eastAsia="tr-TR"/>
        </w:rPr>
        <w:t>music</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teaching</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was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used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In</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this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exam</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common</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dimensions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that</w:t>
      </w:r>
      <w:proofErr w:type="spellEnd"/>
      <w:r w:rsidRPr="00D9611E">
        <w:rPr>
          <w:rFonts w:ascii="Arial" w:eastAsia="Times New Roman" w:hAnsi="Arial" w:cs="Arial"/>
          <w:color w:val="000000"/>
          <w:sz w:val="21"/>
          <w:szCs w:val="21"/>
          <w:lang w:eastAsia="tr-TR"/>
        </w:rPr>
        <w:t xml:space="preserve"> is </w:t>
      </w:r>
      <w:proofErr w:type="spellStart"/>
      <w:r w:rsidRPr="00D9611E">
        <w:rPr>
          <w:rFonts w:ascii="Arial" w:eastAsia="Times New Roman" w:hAnsi="Arial" w:cs="Arial"/>
          <w:color w:val="000000"/>
          <w:sz w:val="21"/>
          <w:szCs w:val="21"/>
          <w:lang w:eastAsia="tr-TR"/>
        </w:rPr>
        <w:t>dual</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sound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note-hearing</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and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rhythm</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dimensions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are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marked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by</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three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raters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for</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one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year</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and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by</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four</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raters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for</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the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following</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year</w:t>
      </w:r>
      <w:proofErr w:type="spellEnd"/>
      <w:r w:rsidRPr="00D9611E">
        <w:rPr>
          <w:rFonts w:ascii="Arial" w:eastAsia="Times New Roman" w:hAnsi="Arial" w:cs="Arial"/>
          <w:color w:val="000000"/>
          <w:sz w:val="21"/>
          <w:szCs w:val="21"/>
          <w:lang w:eastAsia="tr-TR"/>
        </w:rPr>
        <w:t xml:space="preserve">. Since </w:t>
      </w:r>
      <w:proofErr w:type="spellStart"/>
      <w:r w:rsidRPr="00D9611E">
        <w:rPr>
          <w:rFonts w:ascii="Arial" w:eastAsia="Times New Roman" w:hAnsi="Arial" w:cs="Arial"/>
          <w:color w:val="000000"/>
          <w:sz w:val="21"/>
          <w:szCs w:val="21"/>
          <w:lang w:eastAsia="tr-TR"/>
        </w:rPr>
        <w:t>special</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ability</w:t>
      </w:r>
      <w:proofErr w:type="spellEnd"/>
      <w:r w:rsidRPr="00D9611E">
        <w:rPr>
          <w:rFonts w:ascii="Arial" w:eastAsia="Times New Roman" w:hAnsi="Arial" w:cs="Arial"/>
          <w:color w:val="000000"/>
          <w:sz w:val="21"/>
          <w:szCs w:val="21"/>
          <w:lang w:eastAsia="tr-TR"/>
        </w:rPr>
        <w:t xml:space="preserve"> test </w:t>
      </w:r>
      <w:proofErr w:type="spellStart"/>
      <w:r w:rsidRPr="00D9611E">
        <w:rPr>
          <w:rFonts w:ascii="Arial" w:eastAsia="Times New Roman" w:hAnsi="Arial" w:cs="Arial"/>
          <w:color w:val="000000"/>
          <w:sz w:val="21"/>
          <w:szCs w:val="21"/>
          <w:lang w:eastAsia="tr-TR"/>
        </w:rPr>
        <w:t>used</w:t>
      </w:r>
      <w:proofErr w:type="spellEnd"/>
      <w:r w:rsidRPr="00D9611E">
        <w:rPr>
          <w:rFonts w:ascii="Arial" w:eastAsia="Times New Roman" w:hAnsi="Arial" w:cs="Arial"/>
          <w:color w:val="000000"/>
          <w:sz w:val="21"/>
          <w:szCs w:val="21"/>
          <w:lang w:eastAsia="tr-TR"/>
        </w:rPr>
        <w:t xml:space="preserve"> in </w:t>
      </w:r>
      <w:proofErr w:type="spellStart"/>
      <w:r w:rsidRPr="00D9611E">
        <w:rPr>
          <w:rFonts w:ascii="Arial" w:eastAsia="Times New Roman" w:hAnsi="Arial" w:cs="Arial"/>
          <w:color w:val="000000"/>
          <w:sz w:val="21"/>
          <w:szCs w:val="21"/>
          <w:lang w:eastAsia="tr-TR"/>
        </w:rPr>
        <w:t>the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research</w:t>
      </w:r>
      <w:proofErr w:type="spellEnd"/>
      <w:r w:rsidRPr="00D9611E">
        <w:rPr>
          <w:rFonts w:ascii="Arial" w:eastAsia="Times New Roman" w:hAnsi="Arial" w:cs="Arial"/>
          <w:color w:val="000000"/>
          <w:sz w:val="21"/>
          <w:szCs w:val="21"/>
          <w:lang w:eastAsia="tr-TR"/>
        </w:rPr>
        <w:t xml:space="preserve"> had </w:t>
      </w:r>
      <w:proofErr w:type="spellStart"/>
      <w:r w:rsidRPr="00D9611E">
        <w:rPr>
          <w:rFonts w:ascii="Arial" w:eastAsia="Times New Roman" w:hAnsi="Arial" w:cs="Arial"/>
          <w:color w:val="000000"/>
          <w:sz w:val="21"/>
          <w:szCs w:val="21"/>
          <w:lang w:eastAsia="tr-TR"/>
        </w:rPr>
        <w:t>some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subtests</w:t>
      </w:r>
      <w:proofErr w:type="spellEnd"/>
      <w:r w:rsidRPr="00D9611E">
        <w:rPr>
          <w:rFonts w:ascii="Arial" w:eastAsia="Times New Roman" w:hAnsi="Arial" w:cs="Arial"/>
          <w:color w:val="000000"/>
          <w:sz w:val="21"/>
          <w:szCs w:val="21"/>
          <w:lang w:eastAsia="tr-TR"/>
        </w:rPr>
        <w:t xml:space="preserve">, a </w:t>
      </w:r>
      <w:proofErr w:type="spellStart"/>
      <w:r w:rsidRPr="00D9611E">
        <w:rPr>
          <w:rFonts w:ascii="Arial" w:eastAsia="Times New Roman" w:hAnsi="Arial" w:cs="Arial"/>
          <w:color w:val="000000"/>
          <w:sz w:val="21"/>
          <w:szCs w:val="21"/>
          <w:lang w:eastAsia="tr-TR"/>
        </w:rPr>
        <w:t>multivariate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pattern</w:t>
      </w:r>
      <w:proofErr w:type="spellEnd"/>
      <w:r w:rsidRPr="00D9611E">
        <w:rPr>
          <w:rFonts w:ascii="Arial" w:eastAsia="Times New Roman" w:hAnsi="Arial" w:cs="Arial"/>
          <w:color w:val="000000"/>
          <w:sz w:val="21"/>
          <w:szCs w:val="21"/>
          <w:lang w:eastAsia="tr-TR"/>
        </w:rPr>
        <w:t xml:space="preserve"> (</w:t>
      </w:r>
      <w:proofErr w:type="spellStart"/>
      <w:r w:rsidRPr="00D9611E">
        <w:rPr>
          <w:rFonts w:ascii="MathJax_Math-italic" w:eastAsia="Times New Roman" w:hAnsi="MathJax_Math-italic" w:cs="Arial"/>
          <w:color w:val="000000"/>
          <w:sz w:val="25"/>
          <w:szCs w:val="25"/>
          <w:bdr w:val="none" w:sz="0" w:space="0" w:color="auto" w:frame="1"/>
          <w:lang w:eastAsia="tr-TR"/>
        </w:rPr>
        <w:t>b</w:t>
      </w:r>
      <w:r w:rsidRPr="00D9611E">
        <w:rPr>
          <w:rFonts w:ascii="MathJax_Main" w:eastAsia="Times New Roman" w:hAnsi="MathJax_Main" w:cs="Arial"/>
          <w:color w:val="000000"/>
          <w:sz w:val="18"/>
          <w:szCs w:val="18"/>
          <w:bdr w:val="none" w:sz="0" w:space="0" w:color="auto" w:frame="1"/>
          <w:lang w:eastAsia="tr-TR"/>
        </w:rPr>
        <w:t>.</w:t>
      </w:r>
      <w:r w:rsidRPr="00D9611E">
        <w:rPr>
          <w:rFonts w:ascii="MathJax_Math-italic" w:eastAsia="Times New Roman" w:hAnsi="MathJax_Math-italic" w:cs="Arial"/>
          <w:color w:val="000000"/>
          <w:sz w:val="25"/>
          <w:szCs w:val="25"/>
          <w:bdr w:val="none" w:sz="0" w:space="0" w:color="auto" w:frame="1"/>
          <w:lang w:eastAsia="tr-TR"/>
        </w:rPr>
        <w:t>xg</w:t>
      </w:r>
      <w:r w:rsidRPr="00D9611E">
        <w:rPr>
          <w:rFonts w:ascii="MathJax_Math-italic" w:eastAsia="Times New Roman" w:hAnsi="MathJax_Math-italic" w:cs="Arial"/>
          <w:color w:val="000000"/>
          <w:sz w:val="18"/>
          <w:szCs w:val="18"/>
          <w:bdr w:val="none" w:sz="0" w:space="0" w:color="auto" w:frame="1"/>
          <w:lang w:eastAsia="tr-TR"/>
        </w:rPr>
        <w:t>o</w:t>
      </w:r>
      <w:r w:rsidRPr="00D9611E">
        <w:rPr>
          <w:rFonts w:ascii="MathJax_Math-italic" w:eastAsia="Times New Roman" w:hAnsi="MathJax_Math-italic" w:cs="Arial"/>
          <w:color w:val="000000"/>
          <w:sz w:val="25"/>
          <w:szCs w:val="25"/>
          <w:bdr w:val="none" w:sz="0" w:space="0" w:color="auto" w:frame="1"/>
          <w:lang w:eastAsia="tr-TR"/>
        </w:rPr>
        <w:t>xp</w:t>
      </w:r>
      <w:proofErr w:type="spellEnd"/>
      <w:r w:rsidRPr="00D9611E">
        <w:rPr>
          <w:rFonts w:ascii="MathJax_Main" w:eastAsia="Times New Roman" w:hAnsi="MathJax_Main" w:cs="Arial"/>
          <w:color w:val="000000"/>
          <w:sz w:val="18"/>
          <w:szCs w:val="18"/>
          <w:bdr w:val="none" w:sz="0" w:space="0" w:color="auto" w:frame="1"/>
          <w:lang w:eastAsia="tr-TR"/>
        </w:rPr>
        <w:t>.</w:t>
      </w:r>
      <w:r w:rsidRPr="00D9611E">
        <w:rPr>
          <w:rFonts w:ascii="Arial" w:eastAsia="Times New Roman" w:hAnsi="Arial" w:cs="Arial"/>
          <w:color w:val="000000"/>
          <w:sz w:val="21"/>
          <w:szCs w:val="21"/>
          <w:lang w:eastAsia="tr-TR"/>
        </w:rPr>
        <w:t>) of G-</w:t>
      </w:r>
      <w:proofErr w:type="spellStart"/>
      <w:r w:rsidRPr="00D9611E">
        <w:rPr>
          <w:rFonts w:ascii="Arial" w:eastAsia="Times New Roman" w:hAnsi="Arial" w:cs="Arial"/>
          <w:color w:val="000000"/>
          <w:sz w:val="21"/>
          <w:szCs w:val="21"/>
          <w:lang w:eastAsia="tr-TR"/>
        </w:rPr>
        <w:t>theory</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that</w:t>
      </w:r>
      <w:proofErr w:type="spellEnd"/>
      <w:r w:rsidRPr="00D9611E">
        <w:rPr>
          <w:rFonts w:ascii="Arial" w:eastAsia="Times New Roman" w:hAnsi="Arial" w:cs="Arial"/>
          <w:color w:val="000000"/>
          <w:sz w:val="21"/>
          <w:szCs w:val="21"/>
          <w:lang w:eastAsia="tr-TR"/>
        </w:rPr>
        <w:t xml:space="preserve"> is </w:t>
      </w:r>
      <w:proofErr w:type="spellStart"/>
      <w:r w:rsidRPr="00D9611E">
        <w:rPr>
          <w:rFonts w:ascii="Arial" w:eastAsia="Times New Roman" w:hAnsi="Arial" w:cs="Arial"/>
          <w:color w:val="000000"/>
          <w:sz w:val="21"/>
          <w:szCs w:val="21"/>
          <w:lang w:eastAsia="tr-TR"/>
        </w:rPr>
        <w:t>individual</w:t>
      </w:r>
      <w:proofErr w:type="spellEnd"/>
      <w:r w:rsidRPr="00D9611E">
        <w:rPr>
          <w:rFonts w:ascii="Arial" w:eastAsia="Times New Roman" w:hAnsi="Arial" w:cs="Arial"/>
          <w:color w:val="000000"/>
          <w:sz w:val="21"/>
          <w:szCs w:val="21"/>
          <w:lang w:eastAsia="tr-TR"/>
        </w:rPr>
        <w:t xml:space="preserve"> (b), </w:t>
      </w:r>
      <w:proofErr w:type="spellStart"/>
      <w:r w:rsidRPr="00D9611E">
        <w:rPr>
          <w:rFonts w:ascii="Arial" w:eastAsia="Times New Roman" w:hAnsi="Arial" w:cs="Arial"/>
          <w:color w:val="000000"/>
          <w:sz w:val="21"/>
          <w:szCs w:val="21"/>
          <w:lang w:eastAsia="tr-TR"/>
        </w:rPr>
        <w:t>tasks</w:t>
      </w:r>
      <w:proofErr w:type="spellEnd"/>
      <w:r w:rsidRPr="00D9611E">
        <w:rPr>
          <w:rFonts w:ascii="Arial" w:eastAsia="Times New Roman" w:hAnsi="Arial" w:cs="Arial"/>
          <w:color w:val="000000"/>
          <w:sz w:val="21"/>
          <w:szCs w:val="21"/>
          <w:lang w:eastAsia="tr-TR"/>
        </w:rPr>
        <w:t xml:space="preserve"> (g) </w:t>
      </w:r>
      <w:proofErr w:type="spellStart"/>
      <w:r w:rsidRPr="00D9611E">
        <w:rPr>
          <w:rFonts w:ascii="Arial" w:eastAsia="Times New Roman" w:hAnsi="Arial" w:cs="Arial"/>
          <w:color w:val="000000"/>
          <w:sz w:val="21"/>
          <w:szCs w:val="21"/>
          <w:lang w:eastAsia="tr-TR"/>
        </w:rPr>
        <w:t>and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raters</w:t>
      </w:r>
      <w:proofErr w:type="spellEnd"/>
      <w:r w:rsidRPr="00D9611E">
        <w:rPr>
          <w:rFonts w:ascii="Arial" w:eastAsia="Times New Roman" w:hAnsi="Arial" w:cs="Arial"/>
          <w:color w:val="000000"/>
          <w:sz w:val="21"/>
          <w:szCs w:val="21"/>
          <w:lang w:eastAsia="tr-TR"/>
        </w:rPr>
        <w:t xml:space="preserve"> (p) as </w:t>
      </w:r>
      <w:proofErr w:type="spellStart"/>
      <w:r w:rsidRPr="00D9611E">
        <w:rPr>
          <w:rFonts w:ascii="Arial" w:eastAsia="Times New Roman" w:hAnsi="Arial" w:cs="Arial"/>
          <w:color w:val="000000"/>
          <w:sz w:val="21"/>
          <w:szCs w:val="21"/>
          <w:lang w:eastAsia="tr-TR"/>
        </w:rPr>
        <w:t>facets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was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used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By</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calculating</w:t>
      </w:r>
      <w:proofErr w:type="spellEnd"/>
      <w:r w:rsidRPr="00D9611E">
        <w:rPr>
          <w:rFonts w:ascii="Arial" w:eastAsia="Times New Roman" w:hAnsi="Arial" w:cs="Arial"/>
          <w:color w:val="000000"/>
          <w:sz w:val="21"/>
          <w:szCs w:val="21"/>
          <w:lang w:eastAsia="tr-TR"/>
        </w:rPr>
        <w:t xml:space="preserve"> G </w:t>
      </w:r>
      <w:proofErr w:type="spellStart"/>
      <w:r w:rsidRPr="00D9611E">
        <w:rPr>
          <w:rFonts w:ascii="Arial" w:eastAsia="Times New Roman" w:hAnsi="Arial" w:cs="Arial"/>
          <w:color w:val="000000"/>
          <w:sz w:val="21"/>
          <w:szCs w:val="21"/>
          <w:lang w:eastAsia="tr-TR"/>
        </w:rPr>
        <w:t>and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Phi</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coefficients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for</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four-raters</w:t>
      </w:r>
      <w:proofErr w:type="spellEnd"/>
      <w:r w:rsidRPr="00D9611E">
        <w:rPr>
          <w:rFonts w:ascii="Arial" w:eastAsia="Times New Roman" w:hAnsi="Arial" w:cs="Arial"/>
          <w:color w:val="000000"/>
          <w:sz w:val="21"/>
          <w:szCs w:val="21"/>
          <w:lang w:eastAsia="tr-TR"/>
        </w:rPr>
        <w:t xml:space="preserve"> test </w:t>
      </w:r>
      <w:proofErr w:type="spellStart"/>
      <w:r w:rsidRPr="00D9611E">
        <w:rPr>
          <w:rFonts w:ascii="Arial" w:eastAsia="Times New Roman" w:hAnsi="Arial" w:cs="Arial"/>
          <w:color w:val="000000"/>
          <w:sz w:val="21"/>
          <w:szCs w:val="21"/>
          <w:lang w:eastAsia="tr-TR"/>
        </w:rPr>
        <w:t>condition</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from</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three-raters</w:t>
      </w:r>
      <w:proofErr w:type="spellEnd"/>
      <w:r w:rsidRPr="00D9611E">
        <w:rPr>
          <w:rFonts w:ascii="Arial" w:eastAsia="Times New Roman" w:hAnsi="Arial" w:cs="Arial"/>
          <w:color w:val="000000"/>
          <w:sz w:val="21"/>
          <w:szCs w:val="21"/>
          <w:lang w:eastAsia="tr-TR"/>
        </w:rPr>
        <w:t xml:space="preserve"> test </w:t>
      </w:r>
      <w:proofErr w:type="spellStart"/>
      <w:r w:rsidRPr="00D9611E">
        <w:rPr>
          <w:rFonts w:ascii="Arial" w:eastAsia="Times New Roman" w:hAnsi="Arial" w:cs="Arial"/>
          <w:color w:val="000000"/>
          <w:sz w:val="21"/>
          <w:szCs w:val="21"/>
          <w:lang w:eastAsia="tr-TR"/>
        </w:rPr>
        <w:t>condition</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and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vice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versa</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we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compared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coefficient</w:t>
      </w:r>
      <w:proofErr w:type="spellEnd"/>
      <w:r w:rsidRPr="00D9611E">
        <w:rPr>
          <w:rFonts w:ascii="Arial" w:eastAsia="Times New Roman" w:hAnsi="Arial" w:cs="Arial"/>
          <w:color w:val="000000"/>
          <w:sz w:val="21"/>
          <w:szCs w:val="21"/>
          <w:lang w:eastAsia="tr-TR"/>
        </w:rPr>
        <w:t xml:space="preserve"> of </w:t>
      </w:r>
      <w:proofErr w:type="spellStart"/>
      <w:r w:rsidRPr="00D9611E">
        <w:rPr>
          <w:rFonts w:ascii="Arial" w:eastAsia="Times New Roman" w:hAnsi="Arial" w:cs="Arial"/>
          <w:color w:val="000000"/>
          <w:sz w:val="21"/>
          <w:szCs w:val="21"/>
          <w:lang w:eastAsia="tr-TR"/>
        </w:rPr>
        <w:t>the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scenarios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with</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that</w:t>
      </w:r>
      <w:proofErr w:type="spellEnd"/>
      <w:r w:rsidRPr="00D9611E">
        <w:rPr>
          <w:rFonts w:ascii="Arial" w:eastAsia="Times New Roman" w:hAnsi="Arial" w:cs="Arial"/>
          <w:color w:val="000000"/>
          <w:sz w:val="21"/>
          <w:szCs w:val="21"/>
          <w:lang w:eastAsia="tr-TR"/>
        </w:rPr>
        <w:t xml:space="preserve"> of </w:t>
      </w:r>
      <w:proofErr w:type="spellStart"/>
      <w:r w:rsidRPr="00D9611E">
        <w:rPr>
          <w:rFonts w:ascii="Arial" w:eastAsia="Times New Roman" w:hAnsi="Arial" w:cs="Arial"/>
          <w:color w:val="000000"/>
          <w:sz w:val="21"/>
          <w:szCs w:val="21"/>
          <w:lang w:eastAsia="tr-TR"/>
        </w:rPr>
        <w:t>actual</w:t>
      </w:r>
      <w:proofErr w:type="spellEnd"/>
      <w:r w:rsidRPr="00D9611E">
        <w:rPr>
          <w:rFonts w:ascii="Arial" w:eastAsia="Times New Roman" w:hAnsi="Arial" w:cs="Arial"/>
          <w:color w:val="000000"/>
          <w:sz w:val="21"/>
          <w:szCs w:val="21"/>
          <w:lang w:eastAsia="tr-TR"/>
        </w:rPr>
        <w:t xml:space="preserve"> </w:t>
      </w:r>
      <w:proofErr w:type="gramStart"/>
      <w:r w:rsidRPr="00D9611E">
        <w:rPr>
          <w:rFonts w:ascii="Arial" w:eastAsia="Times New Roman" w:hAnsi="Arial" w:cs="Arial"/>
          <w:color w:val="000000"/>
          <w:sz w:val="21"/>
          <w:szCs w:val="21"/>
          <w:lang w:eastAsia="tr-TR"/>
        </w:rPr>
        <w:t>data</w:t>
      </w:r>
      <w:proofErr w:type="gramEnd"/>
      <w:r w:rsidRPr="00D9611E">
        <w:rPr>
          <w:rFonts w:ascii="Arial" w:eastAsia="Times New Roman" w:hAnsi="Arial" w:cs="Arial"/>
          <w:color w:val="000000"/>
          <w:sz w:val="21"/>
          <w:szCs w:val="21"/>
          <w:lang w:eastAsia="tr-TR"/>
        </w:rPr>
        <w:t xml:space="preserve">. As a </w:t>
      </w:r>
      <w:proofErr w:type="spellStart"/>
      <w:r w:rsidRPr="00D9611E">
        <w:rPr>
          <w:rFonts w:ascii="Arial" w:eastAsia="Times New Roman" w:hAnsi="Arial" w:cs="Arial"/>
          <w:color w:val="000000"/>
          <w:sz w:val="21"/>
          <w:szCs w:val="21"/>
          <w:lang w:eastAsia="tr-TR"/>
        </w:rPr>
        <w:t>result</w:t>
      </w:r>
      <w:proofErr w:type="spellEnd"/>
      <w:r w:rsidRPr="00D9611E">
        <w:rPr>
          <w:rFonts w:ascii="Arial" w:eastAsia="Times New Roman" w:hAnsi="Arial" w:cs="Arial"/>
          <w:color w:val="000000"/>
          <w:sz w:val="21"/>
          <w:szCs w:val="21"/>
          <w:lang w:eastAsia="tr-TR"/>
        </w:rPr>
        <w:t xml:space="preserve">, it </w:t>
      </w:r>
      <w:proofErr w:type="spellStart"/>
      <w:r w:rsidRPr="00D9611E">
        <w:rPr>
          <w:rFonts w:ascii="Arial" w:eastAsia="Times New Roman" w:hAnsi="Arial" w:cs="Arial"/>
          <w:color w:val="000000"/>
          <w:sz w:val="21"/>
          <w:szCs w:val="21"/>
          <w:lang w:eastAsia="tr-TR"/>
        </w:rPr>
        <w:t>was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seen</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that</w:t>
      </w:r>
      <w:proofErr w:type="spellEnd"/>
      <w:r w:rsidRPr="00D9611E">
        <w:rPr>
          <w:rFonts w:ascii="Arial" w:eastAsia="Times New Roman" w:hAnsi="Arial" w:cs="Arial"/>
          <w:color w:val="000000"/>
          <w:sz w:val="21"/>
          <w:szCs w:val="21"/>
          <w:lang w:eastAsia="tr-TR"/>
        </w:rPr>
        <w:t xml:space="preserve"> G </w:t>
      </w:r>
      <w:proofErr w:type="spellStart"/>
      <w:r w:rsidRPr="00D9611E">
        <w:rPr>
          <w:rFonts w:ascii="Arial" w:eastAsia="Times New Roman" w:hAnsi="Arial" w:cs="Arial"/>
          <w:color w:val="000000"/>
          <w:sz w:val="21"/>
          <w:szCs w:val="21"/>
          <w:lang w:eastAsia="tr-TR"/>
        </w:rPr>
        <w:t>and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Phi</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coefficient</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obtained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by</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decreasing</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the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number</w:t>
      </w:r>
      <w:proofErr w:type="spellEnd"/>
      <w:r w:rsidRPr="00D9611E">
        <w:rPr>
          <w:rFonts w:ascii="Arial" w:eastAsia="Times New Roman" w:hAnsi="Arial" w:cs="Arial"/>
          <w:color w:val="000000"/>
          <w:sz w:val="21"/>
          <w:szCs w:val="21"/>
          <w:lang w:eastAsia="tr-TR"/>
        </w:rPr>
        <w:t xml:space="preserve"> of </w:t>
      </w:r>
      <w:proofErr w:type="spellStart"/>
      <w:r w:rsidRPr="00D9611E">
        <w:rPr>
          <w:rFonts w:ascii="Arial" w:eastAsia="Times New Roman" w:hAnsi="Arial" w:cs="Arial"/>
          <w:color w:val="000000"/>
          <w:sz w:val="21"/>
          <w:szCs w:val="21"/>
          <w:lang w:eastAsia="tr-TR"/>
        </w:rPr>
        <w:t>raters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was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smaller</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than</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actual</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case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while</w:t>
      </w:r>
      <w:proofErr w:type="spellEnd"/>
      <w:r w:rsidRPr="00D9611E">
        <w:rPr>
          <w:rFonts w:ascii="Arial" w:eastAsia="Times New Roman" w:hAnsi="Arial" w:cs="Arial"/>
          <w:color w:val="000000"/>
          <w:sz w:val="21"/>
          <w:szCs w:val="21"/>
          <w:lang w:eastAsia="tr-TR"/>
        </w:rPr>
        <w:t xml:space="preserve"> G </w:t>
      </w:r>
      <w:proofErr w:type="spellStart"/>
      <w:r w:rsidRPr="00D9611E">
        <w:rPr>
          <w:rFonts w:ascii="Arial" w:eastAsia="Times New Roman" w:hAnsi="Arial" w:cs="Arial"/>
          <w:color w:val="000000"/>
          <w:sz w:val="21"/>
          <w:szCs w:val="21"/>
          <w:lang w:eastAsia="tr-TR"/>
        </w:rPr>
        <w:t>and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Phi</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coefficients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estimated</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by</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scenarios</w:t>
      </w:r>
      <w:proofErr w:type="spellEnd"/>
      <w:r w:rsidRPr="00D9611E">
        <w:rPr>
          <w:rFonts w:ascii="Arial" w:eastAsia="Times New Roman" w:hAnsi="Arial" w:cs="Arial"/>
          <w:color w:val="000000"/>
          <w:sz w:val="21"/>
          <w:szCs w:val="21"/>
          <w:lang w:eastAsia="tr-TR"/>
        </w:rPr>
        <w:t xml:space="preserve"> of </w:t>
      </w:r>
      <w:proofErr w:type="spellStart"/>
      <w:r w:rsidRPr="00D9611E">
        <w:rPr>
          <w:rFonts w:ascii="Arial" w:eastAsia="Times New Roman" w:hAnsi="Arial" w:cs="Arial"/>
          <w:color w:val="000000"/>
          <w:sz w:val="21"/>
          <w:szCs w:val="21"/>
          <w:lang w:eastAsia="tr-TR"/>
        </w:rPr>
        <w:t>increasing</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the</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number</w:t>
      </w:r>
      <w:proofErr w:type="spellEnd"/>
      <w:r w:rsidRPr="00D9611E">
        <w:rPr>
          <w:rFonts w:ascii="Arial" w:eastAsia="Times New Roman" w:hAnsi="Arial" w:cs="Arial"/>
          <w:color w:val="000000"/>
          <w:sz w:val="21"/>
          <w:szCs w:val="21"/>
          <w:lang w:eastAsia="tr-TR"/>
        </w:rPr>
        <w:t xml:space="preserve"> of </w:t>
      </w:r>
      <w:proofErr w:type="spellStart"/>
      <w:r w:rsidRPr="00D9611E">
        <w:rPr>
          <w:rFonts w:ascii="Arial" w:eastAsia="Times New Roman" w:hAnsi="Arial" w:cs="Arial"/>
          <w:color w:val="000000"/>
          <w:sz w:val="21"/>
          <w:szCs w:val="21"/>
          <w:lang w:eastAsia="tr-TR"/>
        </w:rPr>
        <w:t>raters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was</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higher</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than</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actual</w:t>
      </w:r>
      <w:proofErr w:type="spellEnd"/>
      <w:r w:rsidRPr="00D9611E">
        <w:rPr>
          <w:rFonts w:ascii="Arial" w:eastAsia="Times New Roman" w:hAnsi="Arial" w:cs="Arial"/>
          <w:color w:val="000000"/>
          <w:sz w:val="21"/>
          <w:szCs w:val="21"/>
          <w:lang w:eastAsia="tr-TR"/>
        </w:rPr>
        <w:t xml:space="preserve"> </w:t>
      </w:r>
      <w:proofErr w:type="spellStart"/>
      <w:r w:rsidRPr="00D9611E">
        <w:rPr>
          <w:rFonts w:ascii="Arial" w:eastAsia="Times New Roman" w:hAnsi="Arial" w:cs="Arial"/>
          <w:color w:val="000000"/>
          <w:sz w:val="21"/>
          <w:szCs w:val="21"/>
          <w:lang w:eastAsia="tr-TR"/>
        </w:rPr>
        <w:t>case</w:t>
      </w:r>
      <w:proofErr w:type="spellEnd"/>
      <w:r w:rsidRPr="00D9611E">
        <w:rPr>
          <w:rFonts w:ascii="Arial" w:eastAsia="Times New Roman" w:hAnsi="Arial" w:cs="Arial"/>
          <w:color w:val="000000"/>
          <w:sz w:val="21"/>
          <w:szCs w:val="21"/>
          <w:lang w:eastAsia="tr-TR"/>
        </w:rPr>
        <w:t>.</w:t>
      </w:r>
    </w:p>
    <w:p w:rsidR="00A714F5" w:rsidRPr="00D871FE" w:rsidRDefault="00A714F5" w:rsidP="00D871FE">
      <w:bookmarkStart w:id="0" w:name="_GoBack"/>
      <w:bookmarkEnd w:id="0"/>
    </w:p>
    <w:sectPr w:rsidR="00A714F5" w:rsidRPr="00D87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FE"/>
    <w:rsid w:val="00A714F5"/>
    <w:rsid w:val="00D871FE"/>
    <w:rsid w:val="00D96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mpressum--info--title">
    <w:name w:val="impressum--info--title"/>
    <w:basedOn w:val="VarsaylanParagrafYazTipi"/>
    <w:rsid w:val="00D9611E"/>
  </w:style>
  <w:style w:type="character" w:customStyle="1" w:styleId="impressum--info">
    <w:name w:val="impressum--info"/>
    <w:basedOn w:val="VarsaylanParagrafYazTipi"/>
    <w:rsid w:val="00D9611E"/>
  </w:style>
  <w:style w:type="character" w:customStyle="1" w:styleId="mi">
    <w:name w:val="mi"/>
    <w:basedOn w:val="VarsaylanParagrafYazTipi"/>
    <w:rsid w:val="00D9611E"/>
  </w:style>
  <w:style w:type="character" w:customStyle="1" w:styleId="mo">
    <w:name w:val="mo"/>
    <w:basedOn w:val="VarsaylanParagrafYazTipi"/>
    <w:rsid w:val="00D96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mpressum--info--title">
    <w:name w:val="impressum--info--title"/>
    <w:basedOn w:val="VarsaylanParagrafYazTipi"/>
    <w:rsid w:val="00D9611E"/>
  </w:style>
  <w:style w:type="character" w:customStyle="1" w:styleId="impressum--info">
    <w:name w:val="impressum--info"/>
    <w:basedOn w:val="VarsaylanParagrafYazTipi"/>
    <w:rsid w:val="00D9611E"/>
  </w:style>
  <w:style w:type="character" w:customStyle="1" w:styleId="mi">
    <w:name w:val="mi"/>
    <w:basedOn w:val="VarsaylanParagrafYazTipi"/>
    <w:rsid w:val="00D9611E"/>
  </w:style>
  <w:style w:type="character" w:customStyle="1" w:styleId="mo">
    <w:name w:val="mo"/>
    <w:basedOn w:val="VarsaylanParagrafYazTipi"/>
    <w:rsid w:val="00D9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86637">
      <w:bodyDiv w:val="1"/>
      <w:marLeft w:val="0"/>
      <w:marRight w:val="0"/>
      <w:marTop w:val="0"/>
      <w:marBottom w:val="0"/>
      <w:divBdr>
        <w:top w:val="none" w:sz="0" w:space="0" w:color="auto"/>
        <w:left w:val="none" w:sz="0" w:space="0" w:color="auto"/>
        <w:bottom w:val="none" w:sz="0" w:space="0" w:color="auto"/>
        <w:right w:val="none" w:sz="0" w:space="0" w:color="auto"/>
      </w:divBdr>
      <w:divsChild>
        <w:div w:id="1857573204">
          <w:marLeft w:val="0"/>
          <w:marRight w:val="0"/>
          <w:marTop w:val="0"/>
          <w:marBottom w:val="0"/>
          <w:divBdr>
            <w:top w:val="none" w:sz="0" w:space="0" w:color="auto"/>
            <w:left w:val="none" w:sz="0" w:space="0" w:color="auto"/>
            <w:bottom w:val="none" w:sz="0" w:space="0" w:color="auto"/>
            <w:right w:val="none" w:sz="0" w:space="0" w:color="auto"/>
          </w:divBdr>
          <w:divsChild>
            <w:div w:id="1873221820">
              <w:marLeft w:val="0"/>
              <w:marRight w:val="0"/>
              <w:marTop w:val="0"/>
              <w:marBottom w:val="0"/>
              <w:divBdr>
                <w:top w:val="none" w:sz="0" w:space="0" w:color="auto"/>
                <w:left w:val="none" w:sz="0" w:space="0" w:color="auto"/>
                <w:bottom w:val="none" w:sz="0" w:space="0" w:color="auto"/>
                <w:right w:val="none" w:sz="0" w:space="0" w:color="auto"/>
              </w:divBdr>
              <w:divsChild>
                <w:div w:id="2047900971">
                  <w:marLeft w:val="0"/>
                  <w:marRight w:val="0"/>
                  <w:marTop w:val="0"/>
                  <w:marBottom w:val="0"/>
                  <w:divBdr>
                    <w:top w:val="none" w:sz="0" w:space="0" w:color="auto"/>
                    <w:left w:val="none" w:sz="0" w:space="0" w:color="auto"/>
                    <w:bottom w:val="none" w:sz="0" w:space="0" w:color="auto"/>
                    <w:right w:val="none" w:sz="0" w:space="0" w:color="auto"/>
                  </w:divBdr>
                </w:div>
                <w:div w:id="2005040253">
                  <w:marLeft w:val="0"/>
                  <w:marRight w:val="0"/>
                  <w:marTop w:val="0"/>
                  <w:marBottom w:val="0"/>
                  <w:divBdr>
                    <w:top w:val="none" w:sz="0" w:space="0" w:color="auto"/>
                    <w:left w:val="none" w:sz="0" w:space="0" w:color="auto"/>
                    <w:bottom w:val="none" w:sz="0" w:space="0" w:color="auto"/>
                    <w:right w:val="none" w:sz="0" w:space="0" w:color="auto"/>
                  </w:divBdr>
                </w:div>
                <w:div w:id="19422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8109">
      <w:bodyDiv w:val="1"/>
      <w:marLeft w:val="0"/>
      <w:marRight w:val="0"/>
      <w:marTop w:val="0"/>
      <w:marBottom w:val="0"/>
      <w:divBdr>
        <w:top w:val="none" w:sz="0" w:space="0" w:color="auto"/>
        <w:left w:val="none" w:sz="0" w:space="0" w:color="auto"/>
        <w:bottom w:val="none" w:sz="0" w:space="0" w:color="auto"/>
        <w:right w:val="none" w:sz="0" w:space="0" w:color="auto"/>
      </w:divBdr>
      <w:divsChild>
        <w:div w:id="216016841">
          <w:marLeft w:val="0"/>
          <w:marRight w:val="0"/>
          <w:marTop w:val="0"/>
          <w:marBottom w:val="0"/>
          <w:divBdr>
            <w:top w:val="none" w:sz="0" w:space="0" w:color="auto"/>
            <w:left w:val="none" w:sz="0" w:space="0" w:color="auto"/>
            <w:bottom w:val="none" w:sz="0" w:space="0" w:color="auto"/>
            <w:right w:val="none" w:sz="0" w:space="0" w:color="auto"/>
          </w:divBdr>
          <w:divsChild>
            <w:div w:id="46883617">
              <w:marLeft w:val="0"/>
              <w:marRight w:val="0"/>
              <w:marTop w:val="0"/>
              <w:marBottom w:val="0"/>
              <w:divBdr>
                <w:top w:val="none" w:sz="0" w:space="0" w:color="auto"/>
                <w:left w:val="none" w:sz="0" w:space="0" w:color="auto"/>
                <w:bottom w:val="none" w:sz="0" w:space="0" w:color="auto"/>
                <w:right w:val="none" w:sz="0" w:space="0" w:color="auto"/>
              </w:divBdr>
              <w:divsChild>
                <w:div w:id="1697265867">
                  <w:marLeft w:val="0"/>
                  <w:marRight w:val="0"/>
                  <w:marTop w:val="0"/>
                  <w:marBottom w:val="0"/>
                  <w:divBdr>
                    <w:top w:val="none" w:sz="0" w:space="0" w:color="auto"/>
                    <w:left w:val="none" w:sz="0" w:space="0" w:color="auto"/>
                    <w:bottom w:val="none" w:sz="0" w:space="0" w:color="auto"/>
                    <w:right w:val="none" w:sz="0" w:space="0" w:color="auto"/>
                  </w:divBdr>
                </w:div>
                <w:div w:id="1392847258">
                  <w:marLeft w:val="0"/>
                  <w:marRight w:val="0"/>
                  <w:marTop w:val="0"/>
                  <w:marBottom w:val="0"/>
                  <w:divBdr>
                    <w:top w:val="none" w:sz="0" w:space="0" w:color="auto"/>
                    <w:left w:val="none" w:sz="0" w:space="0" w:color="auto"/>
                    <w:bottom w:val="none" w:sz="0" w:space="0" w:color="auto"/>
                    <w:right w:val="none" w:sz="0" w:space="0" w:color="auto"/>
                  </w:divBdr>
                </w:div>
                <w:div w:id="3039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2360">
      <w:bodyDiv w:val="1"/>
      <w:marLeft w:val="0"/>
      <w:marRight w:val="0"/>
      <w:marTop w:val="0"/>
      <w:marBottom w:val="0"/>
      <w:divBdr>
        <w:top w:val="none" w:sz="0" w:space="0" w:color="auto"/>
        <w:left w:val="none" w:sz="0" w:space="0" w:color="auto"/>
        <w:bottom w:val="none" w:sz="0" w:space="0" w:color="auto"/>
        <w:right w:val="none" w:sz="0" w:space="0" w:color="auto"/>
      </w:divBdr>
      <w:divsChild>
        <w:div w:id="228811306">
          <w:marLeft w:val="0"/>
          <w:marRight w:val="0"/>
          <w:marTop w:val="0"/>
          <w:marBottom w:val="0"/>
          <w:divBdr>
            <w:top w:val="none" w:sz="0" w:space="0" w:color="auto"/>
            <w:left w:val="none" w:sz="0" w:space="0" w:color="auto"/>
            <w:bottom w:val="none" w:sz="0" w:space="0" w:color="auto"/>
            <w:right w:val="none" w:sz="0" w:space="0" w:color="auto"/>
          </w:divBdr>
          <w:divsChild>
            <w:div w:id="955714946">
              <w:marLeft w:val="0"/>
              <w:marRight w:val="0"/>
              <w:marTop w:val="0"/>
              <w:marBottom w:val="0"/>
              <w:divBdr>
                <w:top w:val="none" w:sz="0" w:space="0" w:color="auto"/>
                <w:left w:val="none" w:sz="0" w:space="0" w:color="auto"/>
                <w:bottom w:val="none" w:sz="0" w:space="0" w:color="auto"/>
                <w:right w:val="none" w:sz="0" w:space="0" w:color="auto"/>
              </w:divBdr>
            </w:div>
            <w:div w:id="762412231">
              <w:marLeft w:val="0"/>
              <w:marRight w:val="0"/>
              <w:marTop w:val="0"/>
              <w:marBottom w:val="0"/>
              <w:divBdr>
                <w:top w:val="none" w:sz="0" w:space="0" w:color="auto"/>
                <w:left w:val="none" w:sz="0" w:space="0" w:color="auto"/>
                <w:bottom w:val="none" w:sz="0" w:space="0" w:color="auto"/>
                <w:right w:val="none" w:sz="0" w:space="0" w:color="auto"/>
              </w:divBdr>
            </w:div>
          </w:divsChild>
        </w:div>
        <w:div w:id="164827407">
          <w:marLeft w:val="0"/>
          <w:marRight w:val="0"/>
          <w:marTop w:val="0"/>
          <w:marBottom w:val="0"/>
          <w:divBdr>
            <w:top w:val="none" w:sz="0" w:space="0" w:color="auto"/>
            <w:left w:val="none" w:sz="0" w:space="0" w:color="auto"/>
            <w:bottom w:val="none" w:sz="0" w:space="0" w:color="auto"/>
            <w:right w:val="none" w:sz="0" w:space="0" w:color="auto"/>
          </w:divBdr>
          <w:divsChild>
            <w:div w:id="2047945605">
              <w:marLeft w:val="0"/>
              <w:marRight w:val="0"/>
              <w:marTop w:val="0"/>
              <w:marBottom w:val="0"/>
              <w:divBdr>
                <w:top w:val="none" w:sz="0" w:space="0" w:color="auto"/>
                <w:left w:val="none" w:sz="0" w:space="0" w:color="auto"/>
                <w:bottom w:val="none" w:sz="0" w:space="0" w:color="auto"/>
                <w:right w:val="none" w:sz="0" w:space="0" w:color="auto"/>
              </w:divBdr>
            </w:div>
            <w:div w:id="590747133">
              <w:marLeft w:val="0"/>
              <w:marRight w:val="0"/>
              <w:marTop w:val="0"/>
              <w:marBottom w:val="0"/>
              <w:divBdr>
                <w:top w:val="none" w:sz="0" w:space="0" w:color="auto"/>
                <w:left w:val="none" w:sz="0" w:space="0" w:color="auto"/>
                <w:bottom w:val="none" w:sz="0" w:space="0" w:color="auto"/>
                <w:right w:val="none" w:sz="0" w:space="0" w:color="auto"/>
              </w:divBdr>
            </w:div>
            <w:div w:id="5935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2</cp:revision>
  <dcterms:created xsi:type="dcterms:W3CDTF">2020-07-23T06:37:00Z</dcterms:created>
  <dcterms:modified xsi:type="dcterms:W3CDTF">2020-07-23T06:37:00Z</dcterms:modified>
</cp:coreProperties>
</file>