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C71" w:rsidRPr="002C2C71" w:rsidRDefault="002C2C71" w:rsidP="002C2C71">
      <w:pPr>
        <w:spacing w:after="90" w:line="480" w:lineRule="atLeast"/>
        <w:outlineLvl w:val="0"/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Factors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Affecting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Complication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Rates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of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Percutaneous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Nephrolithotomy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Children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: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Results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of a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Multi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-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Institutional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Retrospective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Analysis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by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Turkish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Pediatric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Urology</w:t>
      </w:r>
      <w:proofErr w:type="spellEnd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Society</w:t>
      </w:r>
      <w:proofErr w:type="spellEnd"/>
    </w:p>
    <w:p w:rsidR="002C2C71" w:rsidRPr="002C2C71" w:rsidRDefault="002C2C71" w:rsidP="002C2C71">
      <w:pPr>
        <w:spacing w:before="330" w:after="0" w:line="330" w:lineRule="atLeast"/>
        <w:textAlignment w:val="top"/>
        <w:rPr>
          <w:rFonts w:ascii="Arial" w:eastAsia="Times New Roman" w:hAnsi="Arial" w:cs="Arial"/>
          <w:color w:val="737373"/>
          <w:sz w:val="20"/>
          <w:szCs w:val="20"/>
          <w:lang w:eastAsia="tr-TR"/>
        </w:rPr>
      </w:pPr>
      <w:bookmarkStart w:id="0" w:name="bau1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BülentÖnal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a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workspaceOpens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workspaceOpens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" w:name="bau2"/>
      <w:bookmarkEnd w:id="0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.Hasan</w:t>
      </w:r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SerkanDogan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" w:name="bau3"/>
      <w:bookmarkEnd w:id="1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NihatSatar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e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3" w:name="bau4"/>
      <w:bookmarkEnd w:id="2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.Cenk</w:t>
      </w:r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Y.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Bilen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f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4" w:name="bau5"/>
      <w:bookmarkEnd w:id="3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AliGüneş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j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5" w:name="bau6"/>
      <w:bookmarkEnd w:id="4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EnderÖzden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k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6" w:name="bau7"/>
      <w:bookmarkEnd w:id="5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AhmetOzturk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h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7" w:name="bau8"/>
      <w:bookmarkEnd w:id="6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DenizDemirci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l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8" w:name="bau9"/>
      <w:bookmarkEnd w:id="7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Okanİstanbulluoğlu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i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9" w:name="bau10"/>
      <w:bookmarkEnd w:id="8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SerhatGurocak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g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0" w:name="bau11"/>
      <w:bookmarkEnd w:id="9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OktayNazli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m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1" w:name="bau12"/>
      <w:bookmarkEnd w:id="10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OrhanTanriverdi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c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2" w:name="bau13"/>
      <w:bookmarkEnd w:id="11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AykutKefi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n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3" w:name="bau14"/>
      <w:bookmarkEnd w:id="12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EsatKorgali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o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4" w:name="bau15"/>
      <w:bookmarkEnd w:id="13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.Mesrur</w:t>
      </w:r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SelcukSilay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b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5" w:name="bau16"/>
      <w:bookmarkEnd w:id="14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KubilayInci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f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6" w:name="bau17"/>
      <w:bookmarkEnd w:id="15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Volkanİzol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e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7" w:name="bau18"/>
      <w:bookmarkEnd w:id="16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RamazanAltintas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j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8" w:name="bau19"/>
      <w:bookmarkEnd w:id="17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HakanKilicarslan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d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19" w:name="bau20"/>
      <w:bookmarkEnd w:id="18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SabanSarikaya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k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0" w:name="bau21"/>
      <w:bookmarkEnd w:id="19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VeliYalcin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a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1" w:name="bau22"/>
      <w:bookmarkEnd w:id="20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CemAygun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i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2" w:name="bau23"/>
      <w:bookmarkEnd w:id="21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lastRenderedPageBreak/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FetullahGevher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a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3" w:name="bau24"/>
      <w:bookmarkEnd w:id="22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Ibrahim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AtillaAridogan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Start w:id="24" w:name="bau25"/>
      <w:bookmarkEnd w:id="23"/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links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open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proofErr w:type="gram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.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SerdarTekgul</w:t>
      </w:r>
      <w:r w:rsidRPr="002C2C71">
        <w:rPr>
          <w:rFonts w:ascii="Arial" w:eastAsia="Times New Roman" w:hAnsi="Arial" w:cs="Arial"/>
          <w:color w:val="007398"/>
          <w:sz w:val="20"/>
          <w:vertAlign w:val="superscript"/>
          <w:lang w:eastAsia="tr-TR"/>
        </w:rPr>
        <w:t>f</w:t>
      </w:r>
      <w:proofErr w:type="spellEnd"/>
      <w:proofErr w:type="gram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Numbers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letters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correspond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affiliation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list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.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Click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to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expose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these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in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author</w:t>
      </w:r>
      <w:proofErr w:type="spellEnd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workspace</w:t>
      </w:r>
      <w:bookmarkEnd w:id="24"/>
      <w:proofErr w:type="spellEnd"/>
    </w:p>
    <w:p w:rsidR="002C2C71" w:rsidRPr="002C2C71" w:rsidRDefault="002C2C71" w:rsidP="002C2C71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begin"/>
      </w:r>
      <w:r w:rsidRPr="002C2C71">
        <w:rPr>
          <w:rFonts w:ascii="Arial" w:eastAsia="Times New Roman" w:hAnsi="Arial" w:cs="Arial"/>
          <w:color w:val="505050"/>
          <w:sz w:val="20"/>
          <w:szCs w:val="20"/>
          <w:lang w:eastAsia="tr-TR"/>
        </w:rPr>
        <w:instrText xml:space="preserve"> HYPERLINK "https://doi.org/10.1016/j.juro.2013.09.061" \o "Persistent link using digital object identifier" \t "_blank" </w:instrText>
      </w:r>
      <w:r w:rsidRPr="002C2C71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separate"/>
      </w:r>
      <w:r w:rsidRPr="002C2C71">
        <w:rPr>
          <w:rFonts w:ascii="Arial" w:eastAsia="Times New Roman" w:hAnsi="Arial" w:cs="Arial"/>
          <w:color w:val="007398"/>
          <w:sz w:val="20"/>
          <w:lang w:eastAsia="tr-TR"/>
        </w:rPr>
        <w:t>https://doi.org/10.1016/j.juro.2013.09.061</w:t>
      </w:r>
      <w:r w:rsidRPr="002C2C71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end"/>
      </w:r>
      <w:hyperlink r:id="rId4" w:tgtFrame="_blank" w:history="1"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Get </w:t>
        </w:r>
        <w:proofErr w:type="spellStart"/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>rights</w:t>
        </w:r>
        <w:proofErr w:type="spellEnd"/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 </w:t>
        </w:r>
        <w:proofErr w:type="spellStart"/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>and</w:t>
        </w:r>
        <w:proofErr w:type="spellEnd"/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 xml:space="preserve"> </w:t>
        </w:r>
        <w:proofErr w:type="spellStart"/>
        <w:r w:rsidRPr="002C2C71">
          <w:rPr>
            <w:rFonts w:ascii="Arial" w:eastAsia="Times New Roman" w:hAnsi="Arial" w:cs="Arial"/>
            <w:color w:val="007398"/>
            <w:sz w:val="20"/>
            <w:lang w:eastAsia="tr-TR"/>
          </w:rPr>
          <w:t>content</w:t>
        </w:r>
        <w:proofErr w:type="spellEnd"/>
      </w:hyperlink>
    </w:p>
    <w:p w:rsidR="002C2C71" w:rsidRPr="002C2C71" w:rsidRDefault="002C2C71" w:rsidP="002C2C71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Purpose</w:t>
      </w:r>
    </w:p>
    <w:p w:rsidR="002C2C71" w:rsidRPr="002C2C71" w:rsidRDefault="002C2C71" w:rsidP="002C2C71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We assessed factors affecting complication rates of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percutaneous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nephrolithotomy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in children.</w:t>
      </w:r>
    </w:p>
    <w:p w:rsidR="002C2C71" w:rsidRPr="002C2C71" w:rsidRDefault="002C2C71" w:rsidP="002C2C71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Materials and Methods</w:t>
      </w:r>
    </w:p>
    <w:p w:rsidR="002C2C71" w:rsidRPr="002C2C71" w:rsidRDefault="002C2C71" w:rsidP="002C2C71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We retrospectively evaluated data on 1,205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renal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units in 1,157 children treated with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percutaneous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nephrolithotomy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16 Turkish centers between 1991 and 2012. Of the patients 28.3% had a history of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urolithiasis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. Complications were evaluated according to the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Satava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classification system and modified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Clavien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grading system.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Univariate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and multivariate analyses were done to determine predictive factors affecting complication rates.</w:t>
      </w:r>
    </w:p>
    <w:p w:rsidR="002C2C71" w:rsidRPr="002C2C71" w:rsidRDefault="002C2C71" w:rsidP="002C2C71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Results</w:t>
      </w:r>
    </w:p>
    <w:p w:rsidR="002C2C71" w:rsidRPr="002C2C71" w:rsidRDefault="002C2C71" w:rsidP="002C2C71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 total of 515 females and 642 males were studied. Mean ± SD patient age was 8.8 ± 4.7 years (range 4 months to 17 years). Mean ± SD stone size, operative time and postoperative hospital stay were 4.09 ± 4.06 cm</w:t>
      </w:r>
      <w:r w:rsidRPr="002C2C71">
        <w:rPr>
          <w:rFonts w:ascii="Arial" w:eastAsia="Times New Roman" w:hAnsi="Arial" w:cs="Arial"/>
          <w:color w:val="505050"/>
          <w:sz w:val="27"/>
          <w:szCs w:val="27"/>
          <w:vertAlign w:val="superscript"/>
          <w:lang w:eastAsia="tr-TR"/>
        </w:rPr>
        <w:t>2</w:t>
      </w:r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, 93.5 ± 48.6 minutes and 5.1 ± 3.3 days, respectively. Postoperative stone-free rate was 81.6%. A total of 359 complications occurred in 334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renal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units (27.7%). Complications were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intraoperative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in 118 cases and postoperative in 241. While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univariate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analysis revealed that stone history, positive urine culture, operative time, length of hospitalization, treatment success, punctured calyx and location of the stone significantly affected the complication rates (p &lt;0.05), operative time, sheath size, mid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calyceal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puncture and partial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staghorn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formation were the statistically significant parameters affecting complication rates on multivariate logistic regression analysis.</w:t>
      </w:r>
    </w:p>
    <w:p w:rsidR="002C2C71" w:rsidRPr="002C2C71" w:rsidRDefault="002C2C71" w:rsidP="002C2C71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Conclusions</w:t>
      </w:r>
    </w:p>
    <w:p w:rsidR="002C2C71" w:rsidRPr="002C2C71" w:rsidRDefault="002C2C71" w:rsidP="002C2C71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Percutaneous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nephrolithotomy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is the treatment of choice for most renal calculi in children. The technique is effective and safe in children, with a high success rate and a low rate of major complications. The significant factors identified should be considered by clinicians to decrease associated complication rates.</w:t>
      </w:r>
    </w:p>
    <w:p w:rsidR="002C2C71" w:rsidRPr="002C2C71" w:rsidRDefault="002C2C71" w:rsidP="002C2C71">
      <w:pPr>
        <w:spacing w:before="240" w:after="60" w:line="420" w:lineRule="atLeast"/>
        <w:outlineLvl w:val="1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lastRenderedPageBreak/>
        <w:t>Key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Words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kidney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calculi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nephrostomy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percutaneous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child</w:t>
      </w:r>
      <w:proofErr w:type="spellEnd"/>
    </w:p>
    <w:p w:rsidR="002C2C71" w:rsidRPr="002C2C71" w:rsidRDefault="002C2C71" w:rsidP="002C2C71">
      <w:pPr>
        <w:spacing w:before="240" w:after="60" w:line="420" w:lineRule="atLeast"/>
        <w:outlineLvl w:val="1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Abbreviations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and</w:t>
      </w:r>
      <w:proofErr w:type="spellEnd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Acronyms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CT</w:t>
      </w:r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computerized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tomography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PCNL</w:t>
      </w:r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percutaneous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nephrolithotomy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RU</w:t>
      </w:r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renal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unit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SWL</w:t>
      </w:r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shock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wave</w:t>
      </w:r>
      <w:proofErr w:type="spellEnd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 xml:space="preserve"> </w:t>
      </w: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lithotripsy</w:t>
      </w:r>
      <w:proofErr w:type="spellEnd"/>
    </w:p>
    <w:p w:rsidR="002C2C71" w:rsidRPr="002C2C71" w:rsidRDefault="002C2C71" w:rsidP="002C2C71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US</w:t>
      </w:r>
    </w:p>
    <w:p w:rsidR="002C2C71" w:rsidRPr="002C2C71" w:rsidRDefault="002C2C71" w:rsidP="002C2C71">
      <w:pPr>
        <w:spacing w:line="360" w:lineRule="atLeast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2C2C71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ultrasound</w:t>
      </w:r>
      <w:proofErr w:type="spellEnd"/>
    </w:p>
    <w:p w:rsidR="006F774E" w:rsidRDefault="006F774E"/>
    <w:sectPr w:rsidR="006F774E" w:rsidSect="006F77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2C71"/>
    <w:rsid w:val="002C2C71"/>
    <w:rsid w:val="006F77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774E"/>
  </w:style>
  <w:style w:type="paragraph" w:styleId="Balk1">
    <w:name w:val="heading 1"/>
    <w:basedOn w:val="Normal"/>
    <w:link w:val="Balk1Char"/>
    <w:uiPriority w:val="9"/>
    <w:qFormat/>
    <w:rsid w:val="002C2C7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2C2C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2C2C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C2C71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2C2C71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2C2C71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sr-only">
    <w:name w:val="sr-only"/>
    <w:basedOn w:val="VarsaylanParagrafYazTipi"/>
    <w:rsid w:val="002C2C71"/>
  </w:style>
  <w:style w:type="character" w:customStyle="1" w:styleId="text">
    <w:name w:val="text"/>
    <w:basedOn w:val="VarsaylanParagrafYazTipi"/>
    <w:rsid w:val="002C2C71"/>
  </w:style>
  <w:style w:type="character" w:customStyle="1" w:styleId="author-ref">
    <w:name w:val="author-ref"/>
    <w:basedOn w:val="VarsaylanParagrafYazTipi"/>
    <w:rsid w:val="002C2C71"/>
  </w:style>
  <w:style w:type="character" w:styleId="Kpr">
    <w:name w:val="Hyperlink"/>
    <w:basedOn w:val="VarsaylanParagrafYazTipi"/>
    <w:uiPriority w:val="99"/>
    <w:semiHidden/>
    <w:unhideWhenUsed/>
    <w:rsid w:val="002C2C7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2C2C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46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7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062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89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65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599265">
                      <w:marLeft w:val="0"/>
                      <w:marRight w:val="0"/>
                      <w:marTop w:val="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188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6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5503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67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10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28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79471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single" w:sz="12" w:space="24" w:color="EBEBEB"/>
            <w:right w:val="none" w:sz="0" w:space="0" w:color="auto"/>
          </w:divBdr>
          <w:divsChild>
            <w:div w:id="84012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02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72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1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65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937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0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32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58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727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0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311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539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6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7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60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100.copyright.com/AppDispatchServlet?publisherName=ELS&amp;contentID=S0022534713055602&amp;orderBeanReset=true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953</Words>
  <Characters>5435</Characters>
  <Application>Microsoft Office Word</Application>
  <DocSecurity>0</DocSecurity>
  <Lines>45</Lines>
  <Paragraphs>12</Paragraphs>
  <ScaleCrop>false</ScaleCrop>
  <Company/>
  <LinksUpToDate>false</LinksUpToDate>
  <CharactersWithSpaces>6376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2017-07-06T10:02:00Z</dcterms:created>
  <dcterms:modified xsi:type="dcterms:W3CDTF">2017-07-06T10:03:00Z</dcterms:modified>
</cp:coreProperties>
</file>