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E05" w:rsidRPr="00C24E05" w:rsidRDefault="00C24E05" w:rsidP="00C24E05">
      <w:proofErr w:type="gramStart"/>
      <w:r w:rsidRPr="00C24E05">
        <w:t>Öz:Amaç</w:t>
      </w:r>
      <w:proofErr w:type="gramEnd"/>
      <w:r w:rsidRPr="00C24E05">
        <w:t xml:space="preserve">: Kliniğimizin şaşılık biriminde muayeneleri yapılan ilk 776 hastadaki tanı dağılım oranlarını ve bazı klinik özelliklerini değerlendirmek. Materyal ve metod: Şubat 1994 - Mart 1999 arasında İnönü Üniversitesi Göz Hastalıkları Anabilim Dalı Şaşılık biriminde ilk muayeneleri yapılan 776 şaşılık hastası </w:t>
      </w:r>
      <w:proofErr w:type="gramStart"/>
      <w:r w:rsidRPr="00C24E05">
        <w:t>retrospektif</w:t>
      </w:r>
      <w:proofErr w:type="gramEnd"/>
      <w:r w:rsidRPr="00C24E05">
        <w:t xml:space="preserve"> olarak incelendi. Bulgular: Hastaların dağılımına bakıldığında en sık ezotropya (%</w:t>
      </w:r>
      <w:proofErr w:type="gramStart"/>
      <w:r w:rsidRPr="00C24E05">
        <w:t>57.5</w:t>
      </w:r>
      <w:proofErr w:type="gramEnd"/>
      <w:r w:rsidRPr="00C24E05">
        <w:t>), ikinci sıklıkta ekzotropya (%24.7), daha sonra 4. kranial sinir felci (%4.5), Duane Sendromu (%3), 6. kranial sinir felci (%2.6), Brown Sendromu (%0.9), 3. kranial sinir felci (%0.5), tiroid oftalmopati (%0.26), blow-out kırığı (%0.26), ekstraoküler kas fibrozisi (%0.26), Möbius Sendromu (%0.4), çift elevatör felci (%0.13) saptandı. İnferior oblik adale disfonksiyonu ezotropyalarda (%28.47), ekzotropyalarda (%</w:t>
      </w:r>
      <w:proofErr w:type="gramStart"/>
      <w:r w:rsidRPr="00C24E05">
        <w:t>17.7</w:t>
      </w:r>
      <w:proofErr w:type="gramEnd"/>
      <w:r w:rsidRPr="00C24E05">
        <w:t>) oranında görülürken, superior oblik disfonksiyonu ezotropyalarda %4.7, ekzotropyalarda (%5.2) oranında görülmüştür. Ezotropyalar ve ekzotropyaların (%6.93)'ünde disosiye vertikal deviasyon (DVD) izlenmiştir. Refraksiyonları sferik eşdeğer olarak incelendiğinde ezotropyalarda %</w:t>
      </w:r>
      <w:proofErr w:type="gramStart"/>
      <w:r w:rsidRPr="00C24E05">
        <w:t>80.9</w:t>
      </w:r>
      <w:proofErr w:type="gramEnd"/>
      <w:r w:rsidRPr="00C24E05">
        <w:t xml:space="preserve"> oranında (%48.4, &gt;+2.0) ekzotropyalarda ise %31.3 oranında (%21, +0.5-+2.0 D) hipermetropi izlemiştir. Ezotropyalarda şaşılık ambliyopisi ekzotropyalara göre daha sık olarak bulunmuştur (p&lt;0.05). Sonuç: Ana hatlardaki genel benzerlik yanında, ülkemizdeki önceki çalışmalarda farklı olan tanı oranlarına rastlanmış olup, sonuçlar </w:t>
      </w:r>
      <w:proofErr w:type="gramStart"/>
      <w:r w:rsidRPr="00C24E05">
        <w:t>literatür</w:t>
      </w:r>
      <w:proofErr w:type="gramEnd"/>
      <w:r w:rsidRPr="00C24E05">
        <w:t xml:space="preserve"> ışığında tartışılmıştır.</w:t>
      </w:r>
    </w:p>
    <w:p w:rsidR="00C24E05" w:rsidRPr="00C24E05" w:rsidRDefault="00C24E05" w:rsidP="00C24E05">
      <w:r w:rsidRPr="00C24E05">
        <w:t>Başlık (İngilizce):The evaluation of clinical and diagnostic features in strabismus patients</w:t>
      </w:r>
    </w:p>
    <w:p w:rsidR="00C24E05" w:rsidRPr="00C24E05" w:rsidRDefault="00C24E05" w:rsidP="00C24E05">
      <w:r w:rsidRPr="00C24E05">
        <w:t>Öz (İngilizce):Purpose: This study was performed to evaluate the diagnostic distribution and clinical findings of seven hundred seventy-six patients who were referred for the first time to the Strabismus Unit of our clinic. Materials and Methods: We studied retrospectively seven hundred seventy-six patients inspected for the first time at the Strabismus Unit of Ophthalmology Department, İn&amp;</w:t>
      </w:r>
      <w:proofErr w:type="gramStart"/>
      <w:r w:rsidRPr="00C24E05">
        <w:t>ouml;n</w:t>
      </w:r>
      <w:proofErr w:type="gramEnd"/>
      <w:r w:rsidRPr="00C24E05">
        <w:t xml:space="preserve">&amp;uuml; University School of Medicine, from February 1994 to March 1999. Results: The prevalance of diagnostic subgroups of strabismus patients, in order of decreasing frequency, were; esotropia (57.5%), exotropia (24.7%), 4th nerve palsy (4.5%), Duane's syndrome (3%), 6th nerve palsy (2.6%), Brown syndrome (0.9%,) 3rd nerve palsy (0.5%), thyroid ophthalmopathy (0.26%), orbital fracture (0.26%), extraocular muscle fibrosis (0.26%), Mobius syndrome (0.4%), and double elevator palsy (0.13%). Inferior oblique dysfunction was seen in 28.47% of esotropia and </w:t>
      </w:r>
      <w:proofErr w:type="gramStart"/>
      <w:r w:rsidRPr="00C24E05">
        <w:t>17.7</w:t>
      </w:r>
      <w:proofErr w:type="gramEnd"/>
      <w:r w:rsidRPr="00C24E05">
        <w:t>% of exotropia patients while superior oblique dysfunction was seen in 4.7% of esotropia and 5.2% of exotropia patients. Dissociated vertical deviation was seen in 6.93% of esotropia and exotropia patients. Eighty point one percent of the esotropia patients (</w:t>
      </w:r>
      <w:proofErr w:type="gramStart"/>
      <w:r w:rsidRPr="00C24E05">
        <w:t>48.4</w:t>
      </w:r>
      <w:proofErr w:type="gramEnd"/>
      <w:r w:rsidRPr="00C24E05">
        <w:t xml:space="preserve"> % &amp;gt;+2.0 D as spheric equivalent) and 31.3% of exotropia patients (21% between +0.5 and +2.0 D as spheric equivalent) were hyperopic. Strabismic amblyopia was seen more frequently in esotropia patients than exotropia patients (p &amp;lt;0.05). Conclusion: Our study results showed some common features, and several differences as to the rates of strabismus subgroups compared to the previous reports in literature.</w:t>
      </w:r>
    </w:p>
    <w:p w:rsidR="00940443" w:rsidRPr="00C24E05" w:rsidRDefault="00940443" w:rsidP="00C24E05">
      <w:bookmarkStart w:id="0" w:name="_GoBack"/>
      <w:bookmarkEnd w:id="0"/>
    </w:p>
    <w:sectPr w:rsidR="00940443" w:rsidRPr="00C24E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E22"/>
    <w:rsid w:val="00144A31"/>
    <w:rsid w:val="006934EA"/>
    <w:rsid w:val="00836E22"/>
    <w:rsid w:val="00940443"/>
    <w:rsid w:val="00C2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070B82-2704-4AFF-9E39-6D5481256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48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7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0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7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4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86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52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5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3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2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</Pages>
  <Words>479</Words>
  <Characters>2731</Characters>
  <Application>Microsoft Office Word</Application>
  <DocSecurity>0</DocSecurity>
  <Lines>22</Lines>
  <Paragraphs>6</Paragraphs>
  <ScaleCrop>false</ScaleCrop>
  <Company/>
  <LinksUpToDate>false</LinksUpToDate>
  <CharactersWithSpaces>3204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5</cp:revision>
  <dcterms:created xsi:type="dcterms:W3CDTF">2020-07-21T08:01:00Z</dcterms:created>
  <dcterms:modified xsi:type="dcterms:W3CDTF">2020-07-21T19:29:00Z</dcterms:modified>
</cp:coreProperties>
</file>