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64444E" w:rsidRPr="0064444E" w:rsidRDefault="0064444E" w:rsidP="0064444E">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64444E">
        <w:rPr>
          <w:rFonts w:ascii="Arial" w:eastAsia="Times New Roman" w:hAnsi="Arial" w:cs="Arial"/>
          <w:color w:val="000000"/>
          <w:sz w:val="21"/>
          <w:szCs w:val="21"/>
          <w:lang w:eastAsia="tr-TR"/>
        </w:rPr>
        <w:t>Öz:Hilafet</w:t>
      </w:r>
      <w:proofErr w:type="spellEnd"/>
      <w:proofErr w:type="gramEnd"/>
      <w:r w:rsidRPr="0064444E">
        <w:rPr>
          <w:rFonts w:ascii="Arial" w:eastAsia="Times New Roman" w:hAnsi="Arial" w:cs="Arial"/>
          <w:color w:val="000000"/>
          <w:sz w:val="21"/>
          <w:szCs w:val="21"/>
          <w:lang w:eastAsia="tr-TR"/>
        </w:rPr>
        <w:t xml:space="preserve">, İslam tarihinde ilk tartışılan konudur. Bu alandaki görüşler kelam ilminde tartışılmıştır. Ancak hilafet esasında hukuki bir konudur. Bu tespit, klasik hilafet teorisinin en önemli teorisyeni olan </w:t>
      </w:r>
      <w:proofErr w:type="spellStart"/>
      <w:r w:rsidRPr="0064444E">
        <w:rPr>
          <w:rFonts w:ascii="Arial" w:eastAsia="Times New Roman" w:hAnsi="Arial" w:cs="Arial"/>
          <w:color w:val="000000"/>
          <w:sz w:val="21"/>
          <w:szCs w:val="21"/>
          <w:lang w:eastAsia="tr-TR"/>
        </w:rPr>
        <w:t>Mâverdî’nin</w:t>
      </w:r>
      <w:proofErr w:type="spellEnd"/>
      <w:r w:rsidRPr="0064444E">
        <w:rPr>
          <w:rFonts w:ascii="Arial" w:eastAsia="Times New Roman" w:hAnsi="Arial" w:cs="Arial"/>
          <w:color w:val="000000"/>
          <w:sz w:val="21"/>
          <w:szCs w:val="21"/>
          <w:lang w:eastAsia="tr-TR"/>
        </w:rPr>
        <w:t xml:space="preserve"> konu üzerindeki müstakil eseriyle somutlaşmıştır. Diğer müelliflerin katkısıyla bir </w:t>
      </w:r>
      <w:proofErr w:type="gramStart"/>
      <w:r w:rsidRPr="0064444E">
        <w:rPr>
          <w:rFonts w:ascii="Arial" w:eastAsia="Times New Roman" w:hAnsi="Arial" w:cs="Arial"/>
          <w:color w:val="000000"/>
          <w:sz w:val="21"/>
          <w:szCs w:val="21"/>
          <w:lang w:eastAsia="tr-TR"/>
        </w:rPr>
        <w:t>literatür</w:t>
      </w:r>
      <w:proofErr w:type="gramEnd"/>
      <w:r w:rsidRPr="0064444E">
        <w:rPr>
          <w:rFonts w:ascii="Arial" w:eastAsia="Times New Roman" w:hAnsi="Arial" w:cs="Arial"/>
          <w:color w:val="000000"/>
          <w:sz w:val="21"/>
          <w:szCs w:val="21"/>
          <w:lang w:eastAsia="tr-TR"/>
        </w:rPr>
        <w:t xml:space="preserve"> haline gelmiştir. Devletin anayasal ve idari yapısını inceleyen bu </w:t>
      </w:r>
      <w:proofErr w:type="gramStart"/>
      <w:r w:rsidRPr="0064444E">
        <w:rPr>
          <w:rFonts w:ascii="Arial" w:eastAsia="Times New Roman" w:hAnsi="Arial" w:cs="Arial"/>
          <w:color w:val="000000"/>
          <w:sz w:val="21"/>
          <w:szCs w:val="21"/>
          <w:lang w:eastAsia="tr-TR"/>
        </w:rPr>
        <w:t>literatür</w:t>
      </w:r>
      <w:proofErr w:type="gramEnd"/>
      <w:r w:rsidRPr="0064444E">
        <w:rPr>
          <w:rFonts w:ascii="Arial" w:eastAsia="Times New Roman" w:hAnsi="Arial" w:cs="Arial"/>
          <w:color w:val="000000"/>
          <w:sz w:val="21"/>
          <w:szCs w:val="21"/>
          <w:lang w:eastAsia="tr-TR"/>
        </w:rPr>
        <w:t xml:space="preserve">, oluştuğu döneminin sosyal ve siyasal şartlarını en geniş ölçüde dikkate almıştır. Klasik hilafet teorisi, Abbasilerin kuruluşu ile birlikte toplumun halife-seçkinler-halk şeklindeki üçlü bir taksime tabi tutulduğu bir sosyal ve siyasal yapıda geliştirildi. Aslında bu teori I. Abbasi çağının ürettiği dönüşümün sonucuydu. Çünkü Abbasî devrimini gerçekleştiren muhalefetin etnik ve kültürel yapısı </w:t>
      </w:r>
      <w:proofErr w:type="spellStart"/>
      <w:r w:rsidRPr="0064444E">
        <w:rPr>
          <w:rFonts w:ascii="Arial" w:eastAsia="Times New Roman" w:hAnsi="Arial" w:cs="Arial"/>
          <w:color w:val="000000"/>
          <w:sz w:val="21"/>
          <w:szCs w:val="21"/>
          <w:lang w:eastAsia="tr-TR"/>
        </w:rPr>
        <w:t>Emevîlerin</w:t>
      </w:r>
      <w:proofErr w:type="spellEnd"/>
      <w:r w:rsidRPr="0064444E">
        <w:rPr>
          <w:rFonts w:ascii="Arial" w:eastAsia="Times New Roman" w:hAnsi="Arial" w:cs="Arial"/>
          <w:color w:val="000000"/>
          <w:sz w:val="21"/>
          <w:szCs w:val="21"/>
          <w:lang w:eastAsia="tr-TR"/>
        </w:rPr>
        <w:t xml:space="preserve"> kabile ve kabile şefi ilişkisi üzerine kurulu modelinden farklı bir modeli gerekli kılıyordu. Klasik hilafet teorisine göre, bütün idari görevler halifenin atamasıyla onun adına yürütülür. Ancak klasik hilafet teorisi, sahip oldukları askeri güç ile belirli bölgelerde </w:t>
      </w:r>
      <w:proofErr w:type="gramStart"/>
      <w:r w:rsidRPr="0064444E">
        <w:rPr>
          <w:rFonts w:ascii="Arial" w:eastAsia="Times New Roman" w:hAnsi="Arial" w:cs="Arial"/>
          <w:color w:val="000000"/>
          <w:sz w:val="21"/>
          <w:szCs w:val="21"/>
          <w:lang w:eastAsia="tr-TR"/>
        </w:rPr>
        <w:t>hakimiyet</w:t>
      </w:r>
      <w:proofErr w:type="gramEnd"/>
      <w:r w:rsidRPr="0064444E">
        <w:rPr>
          <w:rFonts w:ascii="Arial" w:eastAsia="Times New Roman" w:hAnsi="Arial" w:cs="Arial"/>
          <w:color w:val="000000"/>
          <w:sz w:val="21"/>
          <w:szCs w:val="21"/>
          <w:lang w:eastAsia="tr-TR"/>
        </w:rPr>
        <w:t xml:space="preserve"> kuran emirlikleri “</w:t>
      </w:r>
      <w:proofErr w:type="spellStart"/>
      <w:r w:rsidRPr="0064444E">
        <w:rPr>
          <w:rFonts w:ascii="Arial" w:eastAsia="Times New Roman" w:hAnsi="Arial" w:cs="Arial"/>
          <w:color w:val="000000"/>
          <w:sz w:val="21"/>
          <w:szCs w:val="21"/>
          <w:lang w:eastAsia="tr-TR"/>
        </w:rPr>
        <w:t>imâratu’l</w:t>
      </w:r>
      <w:proofErr w:type="spellEnd"/>
      <w:r w:rsidRPr="0064444E">
        <w:rPr>
          <w:rFonts w:ascii="Arial" w:eastAsia="Times New Roman" w:hAnsi="Arial" w:cs="Arial"/>
          <w:color w:val="000000"/>
          <w:sz w:val="21"/>
          <w:szCs w:val="21"/>
          <w:lang w:eastAsia="tr-TR"/>
        </w:rPr>
        <w:t xml:space="preserve">-istila” olarak adlandırıp halifeye bağlı olmak ve </w:t>
      </w:r>
      <w:proofErr w:type="spellStart"/>
      <w:r w:rsidRPr="0064444E">
        <w:rPr>
          <w:rFonts w:ascii="Arial" w:eastAsia="Times New Roman" w:hAnsi="Arial" w:cs="Arial"/>
          <w:color w:val="000000"/>
          <w:sz w:val="21"/>
          <w:szCs w:val="21"/>
          <w:lang w:eastAsia="tr-TR"/>
        </w:rPr>
        <w:t>şer’î</w:t>
      </w:r>
      <w:proofErr w:type="spellEnd"/>
      <w:r w:rsidRPr="0064444E">
        <w:rPr>
          <w:rFonts w:ascii="Arial" w:eastAsia="Times New Roman" w:hAnsi="Arial" w:cs="Arial"/>
          <w:color w:val="000000"/>
          <w:sz w:val="21"/>
          <w:szCs w:val="21"/>
          <w:lang w:eastAsia="tr-TR"/>
        </w:rPr>
        <w:t xml:space="preserve"> hükümleri tatbik etmeleri şartıyla meşru gördüler. Klasik hilafet teorisi, müstakil hilafetlerin ortaya çıkmasına, </w:t>
      </w:r>
      <w:proofErr w:type="spellStart"/>
      <w:r w:rsidRPr="0064444E">
        <w:rPr>
          <w:rFonts w:ascii="Arial" w:eastAsia="Times New Roman" w:hAnsi="Arial" w:cs="Arial"/>
          <w:color w:val="000000"/>
          <w:sz w:val="21"/>
          <w:szCs w:val="21"/>
          <w:lang w:eastAsia="tr-TR"/>
        </w:rPr>
        <w:t>Bağdâdî’nin</w:t>
      </w:r>
      <w:proofErr w:type="spellEnd"/>
      <w:r w:rsidRPr="0064444E">
        <w:rPr>
          <w:rFonts w:ascii="Arial" w:eastAsia="Times New Roman" w:hAnsi="Arial" w:cs="Arial"/>
          <w:color w:val="000000"/>
          <w:sz w:val="21"/>
          <w:szCs w:val="21"/>
          <w:lang w:eastAsia="tr-TR"/>
        </w:rPr>
        <w:t xml:space="preserve"> istisnaî görüşü bir yana bırakılırsa, olumlu yaklaşmamıştır. </w:t>
      </w:r>
      <w:proofErr w:type="spellStart"/>
      <w:r w:rsidRPr="0064444E">
        <w:rPr>
          <w:rFonts w:ascii="Arial" w:eastAsia="Times New Roman" w:hAnsi="Arial" w:cs="Arial"/>
          <w:color w:val="000000"/>
          <w:sz w:val="21"/>
          <w:szCs w:val="21"/>
          <w:lang w:eastAsia="tr-TR"/>
        </w:rPr>
        <w:t>Mâverdî</w:t>
      </w:r>
      <w:proofErr w:type="spellEnd"/>
      <w:r w:rsidRPr="0064444E">
        <w:rPr>
          <w:rFonts w:ascii="Arial" w:eastAsia="Times New Roman" w:hAnsi="Arial" w:cs="Arial"/>
          <w:color w:val="000000"/>
          <w:sz w:val="21"/>
          <w:szCs w:val="21"/>
          <w:lang w:eastAsia="tr-TR"/>
        </w:rPr>
        <w:t xml:space="preserve">, Ebu </w:t>
      </w:r>
      <w:proofErr w:type="spellStart"/>
      <w:r w:rsidRPr="0064444E">
        <w:rPr>
          <w:rFonts w:ascii="Arial" w:eastAsia="Times New Roman" w:hAnsi="Arial" w:cs="Arial"/>
          <w:color w:val="000000"/>
          <w:sz w:val="21"/>
          <w:szCs w:val="21"/>
          <w:lang w:eastAsia="tr-TR"/>
        </w:rPr>
        <w:t>Ya’lâ</w:t>
      </w:r>
      <w:proofErr w:type="spellEnd"/>
      <w:r w:rsidRPr="0064444E">
        <w:rPr>
          <w:rFonts w:ascii="Arial" w:eastAsia="Times New Roman" w:hAnsi="Arial" w:cs="Arial"/>
          <w:color w:val="000000"/>
          <w:sz w:val="21"/>
          <w:szCs w:val="21"/>
          <w:lang w:eastAsia="tr-TR"/>
        </w:rPr>
        <w:t xml:space="preserve">, </w:t>
      </w:r>
      <w:proofErr w:type="spellStart"/>
      <w:r w:rsidRPr="0064444E">
        <w:rPr>
          <w:rFonts w:ascii="Arial" w:eastAsia="Times New Roman" w:hAnsi="Arial" w:cs="Arial"/>
          <w:color w:val="000000"/>
          <w:sz w:val="21"/>
          <w:szCs w:val="21"/>
          <w:lang w:eastAsia="tr-TR"/>
        </w:rPr>
        <w:t>Gazâlî</w:t>
      </w:r>
      <w:proofErr w:type="spellEnd"/>
      <w:r w:rsidRPr="0064444E">
        <w:rPr>
          <w:rFonts w:ascii="Arial" w:eastAsia="Times New Roman" w:hAnsi="Arial" w:cs="Arial"/>
          <w:color w:val="000000"/>
          <w:sz w:val="21"/>
          <w:szCs w:val="21"/>
          <w:lang w:eastAsia="tr-TR"/>
        </w:rPr>
        <w:t xml:space="preserve"> ve </w:t>
      </w:r>
      <w:proofErr w:type="spellStart"/>
      <w:r w:rsidRPr="0064444E">
        <w:rPr>
          <w:rFonts w:ascii="Arial" w:eastAsia="Times New Roman" w:hAnsi="Arial" w:cs="Arial"/>
          <w:color w:val="000000"/>
          <w:sz w:val="21"/>
          <w:szCs w:val="21"/>
          <w:lang w:eastAsia="tr-TR"/>
        </w:rPr>
        <w:t>İbn</w:t>
      </w:r>
      <w:proofErr w:type="spellEnd"/>
      <w:r w:rsidRPr="0064444E">
        <w:rPr>
          <w:rFonts w:ascii="Arial" w:eastAsia="Times New Roman" w:hAnsi="Arial" w:cs="Arial"/>
          <w:color w:val="000000"/>
          <w:sz w:val="21"/>
          <w:szCs w:val="21"/>
          <w:lang w:eastAsia="tr-TR"/>
        </w:rPr>
        <w:t xml:space="preserve"> </w:t>
      </w:r>
      <w:proofErr w:type="spellStart"/>
      <w:r w:rsidRPr="0064444E">
        <w:rPr>
          <w:rFonts w:ascii="Arial" w:eastAsia="Times New Roman" w:hAnsi="Arial" w:cs="Arial"/>
          <w:color w:val="000000"/>
          <w:sz w:val="21"/>
          <w:szCs w:val="21"/>
          <w:lang w:eastAsia="tr-TR"/>
        </w:rPr>
        <w:t>Cemâa</w:t>
      </w:r>
      <w:proofErr w:type="spellEnd"/>
      <w:r w:rsidRPr="0064444E">
        <w:rPr>
          <w:rFonts w:ascii="Arial" w:eastAsia="Times New Roman" w:hAnsi="Arial" w:cs="Arial"/>
          <w:color w:val="000000"/>
          <w:sz w:val="21"/>
          <w:szCs w:val="21"/>
          <w:lang w:eastAsia="tr-TR"/>
        </w:rPr>
        <w:t xml:space="preserve"> gibi hukukçular tarafından sistemleştirilen klasik hilafet teorisi, İslam toplumunun birliği ve sürekliliğini korumayı amaçlamış ve bunun Raşit halifeler, </w:t>
      </w:r>
      <w:proofErr w:type="spellStart"/>
      <w:r w:rsidRPr="0064444E">
        <w:rPr>
          <w:rFonts w:ascii="Arial" w:eastAsia="Times New Roman" w:hAnsi="Arial" w:cs="Arial"/>
          <w:color w:val="000000"/>
          <w:sz w:val="21"/>
          <w:szCs w:val="21"/>
          <w:lang w:eastAsia="tr-TR"/>
        </w:rPr>
        <w:t>Emeviler</w:t>
      </w:r>
      <w:proofErr w:type="spellEnd"/>
      <w:r w:rsidRPr="0064444E">
        <w:rPr>
          <w:rFonts w:ascii="Arial" w:eastAsia="Times New Roman" w:hAnsi="Arial" w:cs="Arial"/>
          <w:color w:val="000000"/>
          <w:sz w:val="21"/>
          <w:szCs w:val="21"/>
          <w:lang w:eastAsia="tr-TR"/>
        </w:rPr>
        <w:t xml:space="preserve"> ve Abbasiler yoluyla süren toplumsal ve siyasal varlığın meşruiyeti ve korunmasıyla mümkün olacağını düşünmüşlerdir. Bu teoride hilafet, bu birliğin sembolü ve koruyucusudur. Araştırmada klasik hilafet teorisinin geliştiği sosyal ve siyasal yapı, Abbasî ve Fatımî Hilafetleri ile </w:t>
      </w:r>
      <w:proofErr w:type="spellStart"/>
      <w:r w:rsidRPr="0064444E">
        <w:rPr>
          <w:rFonts w:ascii="Arial" w:eastAsia="Times New Roman" w:hAnsi="Arial" w:cs="Arial"/>
          <w:color w:val="000000"/>
          <w:sz w:val="21"/>
          <w:szCs w:val="21"/>
          <w:lang w:eastAsia="tr-TR"/>
        </w:rPr>
        <w:t>Büveyhi</w:t>
      </w:r>
      <w:proofErr w:type="spellEnd"/>
      <w:r w:rsidRPr="0064444E">
        <w:rPr>
          <w:rFonts w:ascii="Arial" w:eastAsia="Times New Roman" w:hAnsi="Arial" w:cs="Arial"/>
          <w:color w:val="000000"/>
          <w:sz w:val="21"/>
          <w:szCs w:val="21"/>
          <w:lang w:eastAsia="tr-TR"/>
        </w:rPr>
        <w:t xml:space="preserve"> ve Selçuklu Emirlikleri bağlamında incelenmiştir. Ayrıca bu yapının klasik hilafet teorisi üzerindeki etkisi gösterilmeye çalışılmıştır.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25E3" w:rsidRDefault="00CD25E3" w:rsidP="00362035">
      <w:pPr>
        <w:spacing w:after="0" w:line="240" w:lineRule="auto"/>
      </w:pPr>
      <w:r>
        <w:separator/>
      </w:r>
    </w:p>
  </w:endnote>
  <w:endnote w:type="continuationSeparator" w:id="0">
    <w:p w:rsidR="00CD25E3" w:rsidRDefault="00CD25E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25E3" w:rsidRDefault="00CD25E3" w:rsidP="00362035">
      <w:pPr>
        <w:spacing w:after="0" w:line="240" w:lineRule="auto"/>
      </w:pPr>
      <w:r>
        <w:separator/>
      </w:r>
    </w:p>
  </w:footnote>
  <w:footnote w:type="continuationSeparator" w:id="0">
    <w:p w:rsidR="00CD25E3" w:rsidRDefault="00CD25E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D44B4"/>
    <w:rsid w:val="00AD503C"/>
    <w:rsid w:val="00AE4FC9"/>
    <w:rsid w:val="00AF361A"/>
    <w:rsid w:val="00B04E5D"/>
    <w:rsid w:val="00B05542"/>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D25E3"/>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1105</TotalTime>
  <Pages>1</Pages>
  <Words>296</Words>
  <Characters>1689</Characters>
  <Application>Microsoft Office Word</Application>
  <DocSecurity>0</DocSecurity>
  <Lines>14</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327</cp:revision>
  <dcterms:created xsi:type="dcterms:W3CDTF">2021-10-26T14:07:00Z</dcterms:created>
  <dcterms:modified xsi:type="dcterms:W3CDTF">2021-11-09T09:57:00Z</dcterms:modified>
</cp:coreProperties>
</file>