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0ED4" w:rsidRPr="00040ED4" w:rsidRDefault="00040ED4" w:rsidP="00040ED4">
      <w:proofErr w:type="gramStart"/>
      <w:r w:rsidRPr="00040ED4">
        <w:t>Öz:Amaç</w:t>
      </w:r>
      <w:proofErr w:type="gramEnd"/>
      <w:r w:rsidRPr="00040ED4">
        <w:t xml:space="preserve">: Adneksiyal kitlelerin değerlendirilmesinde ve over kanserini tanımada malignite risk endeksinin değerini araştırmak. Materyal ve Metod: Mayıs 2008 ve Ağustos 2009 tarihleri arasında adneksiyal kitle nedeniyle cerrahi uygulanması planlanan hastalar prospektif olarak çalışmaya </w:t>
      </w:r>
      <w:proofErr w:type="gramStart"/>
      <w:r w:rsidRPr="00040ED4">
        <w:t>dahil</w:t>
      </w:r>
      <w:proofErr w:type="gramEnd"/>
      <w:r w:rsidRPr="00040ED4">
        <w:t xml:space="preserve"> edildi. Malignite risk endeksi (MRE) daha önce yayınlanmış olan formül ile hesaplandı (MRE= </w:t>
      </w:r>
      <w:proofErr w:type="gramStart"/>
      <w:r w:rsidRPr="00040ED4">
        <w:t>ultrason</w:t>
      </w:r>
      <w:proofErr w:type="gramEnd"/>
      <w:r w:rsidRPr="00040ED4">
        <w:t xml:space="preserve"> puanı x menapozal durum x Ca-125 (IU/mL) seviyesi). MRE&gt;200 olduğunda malignite pozitif olarak kabul edildi bu kestirim değerinin malign olguları saptamada ki duyarlılığı, özgüllüğü, pozitif öngörme değeri ve negatif öngörme değeri hesaplandı. Bulgular: Çalışmaya alınan 100 hastanın 80 tanesinde (%80) benign over kisti saptanırken, 4 tanesinde (%4) borderline over kanseri ve 16 tanesinde de (%16) invaziv over kanseri saptandı. Malign hastaların %45’i epitelyal over kanseri iken, %20’si (4/20) borderline, %30’u (6/20) epitelyal olmayan over kanseri ve %5’i de (1/20) appendiksten metastazdı. Tüm epitelyal over kanseri olgularının MRE pozitif iken borderline olguların dörtte birinin ve epitelyal olmayan over kanserli olguların altıda ikisinin MRE’si pozitifti. MRE’ nin tüm adneksiyal kitleler içinde over kanserini saptamadaki duyarlılığı %60, özgüllüğü %</w:t>
      </w:r>
      <w:proofErr w:type="gramStart"/>
      <w:r w:rsidRPr="00040ED4">
        <w:t>88.8</w:t>
      </w:r>
      <w:proofErr w:type="gramEnd"/>
      <w:r w:rsidRPr="00040ED4">
        <w:t>, pozitif öngörme değeri %57.1 ve negatif öngörme değeri %89.9 idi. Epitelyal olmayan over kanserleri dışlandığında MRE’nin over kanserlerini tanımadaki duyarlılığı, özgüllüğü, negatif ve pozitif öngörme değerleri sırasıyla %76.9, %88.7, %52.6 ve %95.9 idi. Sonuç: Epitelyal olmayan kanser ve borderline over kanseri olgularının sıklığının yüksek olduğu bir toplulukta MRE, malign olguları tanımada yeterli değildir. (J Turkish-German Gynecol Assoc 2010; 11: 22-6)</w:t>
      </w:r>
    </w:p>
    <w:p w:rsidR="00040ED4" w:rsidRPr="00040ED4" w:rsidRDefault="00040ED4" w:rsidP="00040ED4">
      <w:r w:rsidRPr="00040ED4">
        <w:t>Başlık (İngilizce):Malignite risk endeksi borderline ve epitelyal olmayan over tümörlerinin tanısında duyarlı değildir</w:t>
      </w:r>
    </w:p>
    <w:p w:rsidR="00040ED4" w:rsidRPr="00040ED4" w:rsidRDefault="00040ED4" w:rsidP="00040ED4">
      <w:r w:rsidRPr="00040ED4">
        <w:t xml:space="preserve">Öz (İngilizce):Objective: To find out the value of risk of malignancy index in detection of ovarian cancer and referral of adnexal masses. Material and Method: Patients scheduled for surgery due to adnexal mass between the dates May 2008 and August 2009 were prospectively included to the study. Risk of malignancy index (RMI) was calculated for each patient with a published formula (RMI= Ultrasonic score X menopausal status X Ca-125 (IU/ml) level). RMI &amp;gt; 200 was accepted as positive for malignancy and the sensitivity, specificity, positive predictive value (PPV) and negative predictive value (NPV) of RMI in detecting malignant cases were calculated. Results: One hundred consecutive patients of whom 80 (80%) had benign ovarian cyst, 4 (4%) had borderline lesion and 16 (16%) had invasive ovarian cancer were included to the study. Forty-five percent (9/20) of malignant cases were epithelial ovarian cancer, 20% (4/20) were borderline ovarian tumor, 30% (6/20) were non-epithelial ovarian tumor and 5% (1/20) was a metastasis from appendix. All the cases with epithelial ovarian cancer had positive RMI but only 1 of 4 borderline lesions, 2 of 6 non-epithelial ovarian cancers had positive RMI. The sensitivity of RMI was 55%, specificity was </w:t>
      </w:r>
      <w:proofErr w:type="gramStart"/>
      <w:r w:rsidRPr="00040ED4">
        <w:t>88.7</w:t>
      </w:r>
      <w:proofErr w:type="gramEnd"/>
      <w:r w:rsidRPr="00040ED4">
        <w:t>%, PPV was 55% and NPV was 88.7% for all cases. When the cancer cases other than epithelial ovarian cancers were excluded the sensitivity, specificity, PPV and NPV of RMI was 76.92%, 88.75%, 52.63% and 95.95% respectively. Conclusions: RMI is not adequate in detecting malignant cases in a population with high non-epithelial ovarian cancer and borderline ovarian tumor prevalence.</w:t>
      </w:r>
    </w:p>
    <w:p w:rsidR="00940443" w:rsidRPr="00040ED4" w:rsidRDefault="00940443" w:rsidP="00040ED4">
      <w:bookmarkStart w:id="0" w:name="_GoBack"/>
      <w:bookmarkEnd w:id="0"/>
    </w:p>
    <w:sectPr w:rsidR="00940443" w:rsidRPr="00040ED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E22"/>
    <w:rsid w:val="00040ED4"/>
    <w:rsid w:val="00144A31"/>
    <w:rsid w:val="0036590B"/>
    <w:rsid w:val="00656590"/>
    <w:rsid w:val="006934EA"/>
    <w:rsid w:val="006D0CD0"/>
    <w:rsid w:val="007A25A8"/>
    <w:rsid w:val="007B2A03"/>
    <w:rsid w:val="00836E22"/>
    <w:rsid w:val="00940443"/>
    <w:rsid w:val="00C24E05"/>
    <w:rsid w:val="00CA60A6"/>
    <w:rsid w:val="00CF072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070B82-2704-4AFF-9E39-6D5481256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876834">
      <w:bodyDiv w:val="1"/>
      <w:marLeft w:val="0"/>
      <w:marRight w:val="0"/>
      <w:marTop w:val="0"/>
      <w:marBottom w:val="0"/>
      <w:divBdr>
        <w:top w:val="none" w:sz="0" w:space="0" w:color="auto"/>
        <w:left w:val="none" w:sz="0" w:space="0" w:color="auto"/>
        <w:bottom w:val="none" w:sz="0" w:space="0" w:color="auto"/>
        <w:right w:val="none" w:sz="0" w:space="0" w:color="auto"/>
      </w:divBdr>
      <w:divsChild>
        <w:div w:id="1419251037">
          <w:marLeft w:val="0"/>
          <w:marRight w:val="0"/>
          <w:marTop w:val="0"/>
          <w:marBottom w:val="0"/>
          <w:divBdr>
            <w:top w:val="none" w:sz="0" w:space="0" w:color="auto"/>
            <w:left w:val="none" w:sz="0" w:space="0" w:color="auto"/>
            <w:bottom w:val="none" w:sz="0" w:space="0" w:color="auto"/>
            <w:right w:val="none" w:sz="0" w:space="0" w:color="auto"/>
          </w:divBdr>
        </w:div>
        <w:div w:id="947662330">
          <w:marLeft w:val="0"/>
          <w:marRight w:val="0"/>
          <w:marTop w:val="0"/>
          <w:marBottom w:val="0"/>
          <w:divBdr>
            <w:top w:val="none" w:sz="0" w:space="0" w:color="auto"/>
            <w:left w:val="none" w:sz="0" w:space="0" w:color="auto"/>
            <w:bottom w:val="none" w:sz="0" w:space="0" w:color="auto"/>
            <w:right w:val="none" w:sz="0" w:space="0" w:color="auto"/>
          </w:divBdr>
        </w:div>
        <w:div w:id="1407531860">
          <w:marLeft w:val="0"/>
          <w:marRight w:val="0"/>
          <w:marTop w:val="0"/>
          <w:marBottom w:val="0"/>
          <w:divBdr>
            <w:top w:val="none" w:sz="0" w:space="0" w:color="auto"/>
            <w:left w:val="none" w:sz="0" w:space="0" w:color="auto"/>
            <w:bottom w:val="none" w:sz="0" w:space="0" w:color="auto"/>
            <w:right w:val="none" w:sz="0" w:space="0" w:color="auto"/>
          </w:divBdr>
        </w:div>
      </w:divsChild>
    </w:div>
    <w:div w:id="394861776">
      <w:bodyDiv w:val="1"/>
      <w:marLeft w:val="0"/>
      <w:marRight w:val="0"/>
      <w:marTop w:val="0"/>
      <w:marBottom w:val="0"/>
      <w:divBdr>
        <w:top w:val="none" w:sz="0" w:space="0" w:color="auto"/>
        <w:left w:val="none" w:sz="0" w:space="0" w:color="auto"/>
        <w:bottom w:val="none" w:sz="0" w:space="0" w:color="auto"/>
        <w:right w:val="none" w:sz="0" w:space="0" w:color="auto"/>
      </w:divBdr>
      <w:divsChild>
        <w:div w:id="1752583258">
          <w:marLeft w:val="0"/>
          <w:marRight w:val="0"/>
          <w:marTop w:val="0"/>
          <w:marBottom w:val="0"/>
          <w:divBdr>
            <w:top w:val="none" w:sz="0" w:space="0" w:color="auto"/>
            <w:left w:val="none" w:sz="0" w:space="0" w:color="auto"/>
            <w:bottom w:val="none" w:sz="0" w:space="0" w:color="auto"/>
            <w:right w:val="none" w:sz="0" w:space="0" w:color="auto"/>
          </w:divBdr>
        </w:div>
        <w:div w:id="679164721">
          <w:marLeft w:val="0"/>
          <w:marRight w:val="0"/>
          <w:marTop w:val="0"/>
          <w:marBottom w:val="0"/>
          <w:divBdr>
            <w:top w:val="none" w:sz="0" w:space="0" w:color="auto"/>
            <w:left w:val="none" w:sz="0" w:space="0" w:color="auto"/>
            <w:bottom w:val="none" w:sz="0" w:space="0" w:color="auto"/>
            <w:right w:val="none" w:sz="0" w:space="0" w:color="auto"/>
          </w:divBdr>
        </w:div>
        <w:div w:id="1492479121">
          <w:marLeft w:val="0"/>
          <w:marRight w:val="0"/>
          <w:marTop w:val="0"/>
          <w:marBottom w:val="0"/>
          <w:divBdr>
            <w:top w:val="none" w:sz="0" w:space="0" w:color="auto"/>
            <w:left w:val="none" w:sz="0" w:space="0" w:color="auto"/>
            <w:bottom w:val="none" w:sz="0" w:space="0" w:color="auto"/>
            <w:right w:val="none" w:sz="0" w:space="0" w:color="auto"/>
          </w:divBdr>
        </w:div>
      </w:divsChild>
    </w:div>
    <w:div w:id="668214430">
      <w:bodyDiv w:val="1"/>
      <w:marLeft w:val="0"/>
      <w:marRight w:val="0"/>
      <w:marTop w:val="0"/>
      <w:marBottom w:val="0"/>
      <w:divBdr>
        <w:top w:val="none" w:sz="0" w:space="0" w:color="auto"/>
        <w:left w:val="none" w:sz="0" w:space="0" w:color="auto"/>
        <w:bottom w:val="none" w:sz="0" w:space="0" w:color="auto"/>
        <w:right w:val="none" w:sz="0" w:space="0" w:color="auto"/>
      </w:divBdr>
      <w:divsChild>
        <w:div w:id="1575432489">
          <w:marLeft w:val="0"/>
          <w:marRight w:val="0"/>
          <w:marTop w:val="0"/>
          <w:marBottom w:val="0"/>
          <w:divBdr>
            <w:top w:val="none" w:sz="0" w:space="0" w:color="auto"/>
            <w:left w:val="none" w:sz="0" w:space="0" w:color="auto"/>
            <w:bottom w:val="none" w:sz="0" w:space="0" w:color="auto"/>
            <w:right w:val="none" w:sz="0" w:space="0" w:color="auto"/>
          </w:divBdr>
        </w:div>
        <w:div w:id="296645686">
          <w:marLeft w:val="0"/>
          <w:marRight w:val="0"/>
          <w:marTop w:val="0"/>
          <w:marBottom w:val="0"/>
          <w:divBdr>
            <w:top w:val="none" w:sz="0" w:space="0" w:color="auto"/>
            <w:left w:val="none" w:sz="0" w:space="0" w:color="auto"/>
            <w:bottom w:val="none" w:sz="0" w:space="0" w:color="auto"/>
            <w:right w:val="none" w:sz="0" w:space="0" w:color="auto"/>
          </w:divBdr>
        </w:div>
        <w:div w:id="1588536237">
          <w:marLeft w:val="0"/>
          <w:marRight w:val="0"/>
          <w:marTop w:val="0"/>
          <w:marBottom w:val="0"/>
          <w:divBdr>
            <w:top w:val="none" w:sz="0" w:space="0" w:color="auto"/>
            <w:left w:val="none" w:sz="0" w:space="0" w:color="auto"/>
            <w:bottom w:val="none" w:sz="0" w:space="0" w:color="auto"/>
            <w:right w:val="none" w:sz="0" w:space="0" w:color="auto"/>
          </w:divBdr>
        </w:div>
      </w:divsChild>
    </w:div>
    <w:div w:id="737169522">
      <w:bodyDiv w:val="1"/>
      <w:marLeft w:val="0"/>
      <w:marRight w:val="0"/>
      <w:marTop w:val="0"/>
      <w:marBottom w:val="0"/>
      <w:divBdr>
        <w:top w:val="none" w:sz="0" w:space="0" w:color="auto"/>
        <w:left w:val="none" w:sz="0" w:space="0" w:color="auto"/>
        <w:bottom w:val="none" w:sz="0" w:space="0" w:color="auto"/>
        <w:right w:val="none" w:sz="0" w:space="0" w:color="auto"/>
      </w:divBdr>
      <w:divsChild>
        <w:div w:id="342128572">
          <w:marLeft w:val="0"/>
          <w:marRight w:val="0"/>
          <w:marTop w:val="0"/>
          <w:marBottom w:val="0"/>
          <w:divBdr>
            <w:top w:val="none" w:sz="0" w:space="0" w:color="auto"/>
            <w:left w:val="none" w:sz="0" w:space="0" w:color="auto"/>
            <w:bottom w:val="none" w:sz="0" w:space="0" w:color="auto"/>
            <w:right w:val="none" w:sz="0" w:space="0" w:color="auto"/>
          </w:divBdr>
        </w:div>
        <w:div w:id="636616793">
          <w:marLeft w:val="0"/>
          <w:marRight w:val="0"/>
          <w:marTop w:val="0"/>
          <w:marBottom w:val="0"/>
          <w:divBdr>
            <w:top w:val="none" w:sz="0" w:space="0" w:color="auto"/>
            <w:left w:val="none" w:sz="0" w:space="0" w:color="auto"/>
            <w:bottom w:val="none" w:sz="0" w:space="0" w:color="auto"/>
            <w:right w:val="none" w:sz="0" w:space="0" w:color="auto"/>
          </w:divBdr>
        </w:div>
        <w:div w:id="1461849187">
          <w:marLeft w:val="0"/>
          <w:marRight w:val="0"/>
          <w:marTop w:val="0"/>
          <w:marBottom w:val="0"/>
          <w:divBdr>
            <w:top w:val="none" w:sz="0" w:space="0" w:color="auto"/>
            <w:left w:val="none" w:sz="0" w:space="0" w:color="auto"/>
            <w:bottom w:val="none" w:sz="0" w:space="0" w:color="auto"/>
            <w:right w:val="none" w:sz="0" w:space="0" w:color="auto"/>
          </w:divBdr>
        </w:div>
      </w:divsChild>
    </w:div>
    <w:div w:id="739015287">
      <w:bodyDiv w:val="1"/>
      <w:marLeft w:val="0"/>
      <w:marRight w:val="0"/>
      <w:marTop w:val="0"/>
      <w:marBottom w:val="0"/>
      <w:divBdr>
        <w:top w:val="none" w:sz="0" w:space="0" w:color="auto"/>
        <w:left w:val="none" w:sz="0" w:space="0" w:color="auto"/>
        <w:bottom w:val="none" w:sz="0" w:space="0" w:color="auto"/>
        <w:right w:val="none" w:sz="0" w:space="0" w:color="auto"/>
      </w:divBdr>
      <w:divsChild>
        <w:div w:id="1101146410">
          <w:marLeft w:val="0"/>
          <w:marRight w:val="0"/>
          <w:marTop w:val="0"/>
          <w:marBottom w:val="0"/>
          <w:divBdr>
            <w:top w:val="none" w:sz="0" w:space="0" w:color="auto"/>
            <w:left w:val="none" w:sz="0" w:space="0" w:color="auto"/>
            <w:bottom w:val="none" w:sz="0" w:space="0" w:color="auto"/>
            <w:right w:val="none" w:sz="0" w:space="0" w:color="auto"/>
          </w:divBdr>
        </w:div>
        <w:div w:id="869225081">
          <w:marLeft w:val="0"/>
          <w:marRight w:val="0"/>
          <w:marTop w:val="0"/>
          <w:marBottom w:val="0"/>
          <w:divBdr>
            <w:top w:val="none" w:sz="0" w:space="0" w:color="auto"/>
            <w:left w:val="none" w:sz="0" w:space="0" w:color="auto"/>
            <w:bottom w:val="none" w:sz="0" w:space="0" w:color="auto"/>
            <w:right w:val="none" w:sz="0" w:space="0" w:color="auto"/>
          </w:divBdr>
        </w:div>
        <w:div w:id="41057013">
          <w:marLeft w:val="0"/>
          <w:marRight w:val="0"/>
          <w:marTop w:val="0"/>
          <w:marBottom w:val="0"/>
          <w:divBdr>
            <w:top w:val="none" w:sz="0" w:space="0" w:color="auto"/>
            <w:left w:val="none" w:sz="0" w:space="0" w:color="auto"/>
            <w:bottom w:val="none" w:sz="0" w:space="0" w:color="auto"/>
            <w:right w:val="none" w:sz="0" w:space="0" w:color="auto"/>
          </w:divBdr>
        </w:div>
      </w:divsChild>
    </w:div>
    <w:div w:id="893007416">
      <w:bodyDiv w:val="1"/>
      <w:marLeft w:val="0"/>
      <w:marRight w:val="0"/>
      <w:marTop w:val="0"/>
      <w:marBottom w:val="0"/>
      <w:divBdr>
        <w:top w:val="none" w:sz="0" w:space="0" w:color="auto"/>
        <w:left w:val="none" w:sz="0" w:space="0" w:color="auto"/>
        <w:bottom w:val="none" w:sz="0" w:space="0" w:color="auto"/>
        <w:right w:val="none" w:sz="0" w:space="0" w:color="auto"/>
      </w:divBdr>
      <w:divsChild>
        <w:div w:id="506748108">
          <w:marLeft w:val="0"/>
          <w:marRight w:val="0"/>
          <w:marTop w:val="0"/>
          <w:marBottom w:val="0"/>
          <w:divBdr>
            <w:top w:val="none" w:sz="0" w:space="0" w:color="auto"/>
            <w:left w:val="none" w:sz="0" w:space="0" w:color="auto"/>
            <w:bottom w:val="none" w:sz="0" w:space="0" w:color="auto"/>
            <w:right w:val="none" w:sz="0" w:space="0" w:color="auto"/>
          </w:divBdr>
        </w:div>
        <w:div w:id="733091342">
          <w:marLeft w:val="0"/>
          <w:marRight w:val="0"/>
          <w:marTop w:val="0"/>
          <w:marBottom w:val="0"/>
          <w:divBdr>
            <w:top w:val="none" w:sz="0" w:space="0" w:color="auto"/>
            <w:left w:val="none" w:sz="0" w:space="0" w:color="auto"/>
            <w:bottom w:val="none" w:sz="0" w:space="0" w:color="auto"/>
            <w:right w:val="none" w:sz="0" w:space="0" w:color="auto"/>
          </w:divBdr>
        </w:div>
        <w:div w:id="767241657">
          <w:marLeft w:val="0"/>
          <w:marRight w:val="0"/>
          <w:marTop w:val="0"/>
          <w:marBottom w:val="0"/>
          <w:divBdr>
            <w:top w:val="none" w:sz="0" w:space="0" w:color="auto"/>
            <w:left w:val="none" w:sz="0" w:space="0" w:color="auto"/>
            <w:bottom w:val="none" w:sz="0" w:space="0" w:color="auto"/>
            <w:right w:val="none" w:sz="0" w:space="0" w:color="auto"/>
          </w:divBdr>
        </w:div>
      </w:divsChild>
    </w:div>
    <w:div w:id="1156534056">
      <w:bodyDiv w:val="1"/>
      <w:marLeft w:val="0"/>
      <w:marRight w:val="0"/>
      <w:marTop w:val="0"/>
      <w:marBottom w:val="0"/>
      <w:divBdr>
        <w:top w:val="none" w:sz="0" w:space="0" w:color="auto"/>
        <w:left w:val="none" w:sz="0" w:space="0" w:color="auto"/>
        <w:bottom w:val="none" w:sz="0" w:space="0" w:color="auto"/>
        <w:right w:val="none" w:sz="0" w:space="0" w:color="auto"/>
      </w:divBdr>
      <w:divsChild>
        <w:div w:id="1885411093">
          <w:marLeft w:val="0"/>
          <w:marRight w:val="0"/>
          <w:marTop w:val="0"/>
          <w:marBottom w:val="0"/>
          <w:divBdr>
            <w:top w:val="none" w:sz="0" w:space="0" w:color="auto"/>
            <w:left w:val="none" w:sz="0" w:space="0" w:color="auto"/>
            <w:bottom w:val="none" w:sz="0" w:space="0" w:color="auto"/>
            <w:right w:val="none" w:sz="0" w:space="0" w:color="auto"/>
          </w:divBdr>
        </w:div>
        <w:div w:id="243999657">
          <w:marLeft w:val="0"/>
          <w:marRight w:val="0"/>
          <w:marTop w:val="0"/>
          <w:marBottom w:val="0"/>
          <w:divBdr>
            <w:top w:val="none" w:sz="0" w:space="0" w:color="auto"/>
            <w:left w:val="none" w:sz="0" w:space="0" w:color="auto"/>
            <w:bottom w:val="none" w:sz="0" w:space="0" w:color="auto"/>
            <w:right w:val="none" w:sz="0" w:space="0" w:color="auto"/>
          </w:divBdr>
        </w:div>
        <w:div w:id="165094137">
          <w:marLeft w:val="0"/>
          <w:marRight w:val="0"/>
          <w:marTop w:val="0"/>
          <w:marBottom w:val="0"/>
          <w:divBdr>
            <w:top w:val="none" w:sz="0" w:space="0" w:color="auto"/>
            <w:left w:val="none" w:sz="0" w:space="0" w:color="auto"/>
            <w:bottom w:val="none" w:sz="0" w:space="0" w:color="auto"/>
            <w:right w:val="none" w:sz="0" w:space="0" w:color="auto"/>
          </w:divBdr>
        </w:div>
      </w:divsChild>
    </w:div>
    <w:div w:id="1254389671">
      <w:bodyDiv w:val="1"/>
      <w:marLeft w:val="0"/>
      <w:marRight w:val="0"/>
      <w:marTop w:val="0"/>
      <w:marBottom w:val="0"/>
      <w:divBdr>
        <w:top w:val="none" w:sz="0" w:space="0" w:color="auto"/>
        <w:left w:val="none" w:sz="0" w:space="0" w:color="auto"/>
        <w:bottom w:val="none" w:sz="0" w:space="0" w:color="auto"/>
        <w:right w:val="none" w:sz="0" w:space="0" w:color="auto"/>
      </w:divBdr>
      <w:divsChild>
        <w:div w:id="610091142">
          <w:marLeft w:val="0"/>
          <w:marRight w:val="0"/>
          <w:marTop w:val="0"/>
          <w:marBottom w:val="0"/>
          <w:divBdr>
            <w:top w:val="none" w:sz="0" w:space="0" w:color="auto"/>
            <w:left w:val="none" w:sz="0" w:space="0" w:color="auto"/>
            <w:bottom w:val="none" w:sz="0" w:space="0" w:color="auto"/>
            <w:right w:val="none" w:sz="0" w:space="0" w:color="auto"/>
          </w:divBdr>
        </w:div>
        <w:div w:id="1977177298">
          <w:marLeft w:val="0"/>
          <w:marRight w:val="0"/>
          <w:marTop w:val="0"/>
          <w:marBottom w:val="0"/>
          <w:divBdr>
            <w:top w:val="none" w:sz="0" w:space="0" w:color="auto"/>
            <w:left w:val="none" w:sz="0" w:space="0" w:color="auto"/>
            <w:bottom w:val="none" w:sz="0" w:space="0" w:color="auto"/>
            <w:right w:val="none" w:sz="0" w:space="0" w:color="auto"/>
          </w:divBdr>
        </w:div>
        <w:div w:id="386760084">
          <w:marLeft w:val="0"/>
          <w:marRight w:val="0"/>
          <w:marTop w:val="0"/>
          <w:marBottom w:val="0"/>
          <w:divBdr>
            <w:top w:val="none" w:sz="0" w:space="0" w:color="auto"/>
            <w:left w:val="none" w:sz="0" w:space="0" w:color="auto"/>
            <w:bottom w:val="none" w:sz="0" w:space="0" w:color="auto"/>
            <w:right w:val="none" w:sz="0" w:space="0" w:color="auto"/>
          </w:divBdr>
        </w:div>
      </w:divsChild>
    </w:div>
    <w:div w:id="1558860717">
      <w:bodyDiv w:val="1"/>
      <w:marLeft w:val="0"/>
      <w:marRight w:val="0"/>
      <w:marTop w:val="0"/>
      <w:marBottom w:val="0"/>
      <w:divBdr>
        <w:top w:val="none" w:sz="0" w:space="0" w:color="auto"/>
        <w:left w:val="none" w:sz="0" w:space="0" w:color="auto"/>
        <w:bottom w:val="none" w:sz="0" w:space="0" w:color="auto"/>
        <w:right w:val="none" w:sz="0" w:space="0" w:color="auto"/>
      </w:divBdr>
      <w:divsChild>
        <w:div w:id="1493525216">
          <w:marLeft w:val="0"/>
          <w:marRight w:val="0"/>
          <w:marTop w:val="0"/>
          <w:marBottom w:val="0"/>
          <w:divBdr>
            <w:top w:val="none" w:sz="0" w:space="0" w:color="auto"/>
            <w:left w:val="none" w:sz="0" w:space="0" w:color="auto"/>
            <w:bottom w:val="none" w:sz="0" w:space="0" w:color="auto"/>
            <w:right w:val="none" w:sz="0" w:space="0" w:color="auto"/>
          </w:divBdr>
          <w:divsChild>
            <w:div w:id="1094547303">
              <w:marLeft w:val="0"/>
              <w:marRight w:val="0"/>
              <w:marTop w:val="0"/>
              <w:marBottom w:val="0"/>
              <w:divBdr>
                <w:top w:val="none" w:sz="0" w:space="0" w:color="auto"/>
                <w:left w:val="none" w:sz="0" w:space="0" w:color="auto"/>
                <w:bottom w:val="none" w:sz="0" w:space="0" w:color="auto"/>
                <w:right w:val="none" w:sz="0" w:space="0" w:color="auto"/>
              </w:divBdr>
              <w:divsChild>
                <w:div w:id="2065328930">
                  <w:marLeft w:val="0"/>
                  <w:marRight w:val="0"/>
                  <w:marTop w:val="0"/>
                  <w:marBottom w:val="0"/>
                  <w:divBdr>
                    <w:top w:val="none" w:sz="0" w:space="0" w:color="auto"/>
                    <w:left w:val="none" w:sz="0" w:space="0" w:color="auto"/>
                    <w:bottom w:val="none" w:sz="0" w:space="0" w:color="auto"/>
                    <w:right w:val="none" w:sz="0" w:space="0" w:color="auto"/>
                  </w:divBdr>
                </w:div>
                <w:div w:id="437218811">
                  <w:marLeft w:val="0"/>
                  <w:marRight w:val="0"/>
                  <w:marTop w:val="0"/>
                  <w:marBottom w:val="0"/>
                  <w:divBdr>
                    <w:top w:val="none" w:sz="0" w:space="0" w:color="auto"/>
                    <w:left w:val="none" w:sz="0" w:space="0" w:color="auto"/>
                    <w:bottom w:val="none" w:sz="0" w:space="0" w:color="auto"/>
                    <w:right w:val="none" w:sz="0" w:space="0" w:color="auto"/>
                  </w:divBdr>
                </w:div>
                <w:div w:id="178502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622068">
      <w:bodyDiv w:val="1"/>
      <w:marLeft w:val="0"/>
      <w:marRight w:val="0"/>
      <w:marTop w:val="0"/>
      <w:marBottom w:val="0"/>
      <w:divBdr>
        <w:top w:val="none" w:sz="0" w:space="0" w:color="auto"/>
        <w:left w:val="none" w:sz="0" w:space="0" w:color="auto"/>
        <w:bottom w:val="none" w:sz="0" w:space="0" w:color="auto"/>
        <w:right w:val="none" w:sz="0" w:space="0" w:color="auto"/>
      </w:divBdr>
      <w:divsChild>
        <w:div w:id="186985260">
          <w:marLeft w:val="0"/>
          <w:marRight w:val="0"/>
          <w:marTop w:val="0"/>
          <w:marBottom w:val="0"/>
          <w:divBdr>
            <w:top w:val="none" w:sz="0" w:space="0" w:color="auto"/>
            <w:left w:val="none" w:sz="0" w:space="0" w:color="auto"/>
            <w:bottom w:val="none" w:sz="0" w:space="0" w:color="auto"/>
            <w:right w:val="none" w:sz="0" w:space="0" w:color="auto"/>
          </w:divBdr>
        </w:div>
        <w:div w:id="1226452349">
          <w:marLeft w:val="0"/>
          <w:marRight w:val="0"/>
          <w:marTop w:val="0"/>
          <w:marBottom w:val="0"/>
          <w:divBdr>
            <w:top w:val="none" w:sz="0" w:space="0" w:color="auto"/>
            <w:left w:val="none" w:sz="0" w:space="0" w:color="auto"/>
            <w:bottom w:val="none" w:sz="0" w:space="0" w:color="auto"/>
            <w:right w:val="none" w:sz="0" w:space="0" w:color="auto"/>
          </w:divBdr>
        </w:div>
        <w:div w:id="741483612">
          <w:marLeft w:val="0"/>
          <w:marRight w:val="0"/>
          <w:marTop w:val="0"/>
          <w:marBottom w:val="0"/>
          <w:divBdr>
            <w:top w:val="none" w:sz="0" w:space="0" w:color="auto"/>
            <w:left w:val="none" w:sz="0" w:space="0" w:color="auto"/>
            <w:bottom w:val="none" w:sz="0" w:space="0" w:color="auto"/>
            <w:right w:val="none" w:sz="0" w:space="0" w:color="auto"/>
          </w:divBdr>
        </w:div>
      </w:divsChild>
    </w:div>
    <w:div w:id="1994095262">
      <w:bodyDiv w:val="1"/>
      <w:marLeft w:val="0"/>
      <w:marRight w:val="0"/>
      <w:marTop w:val="0"/>
      <w:marBottom w:val="0"/>
      <w:divBdr>
        <w:top w:val="none" w:sz="0" w:space="0" w:color="auto"/>
        <w:left w:val="none" w:sz="0" w:space="0" w:color="auto"/>
        <w:bottom w:val="none" w:sz="0" w:space="0" w:color="auto"/>
        <w:right w:val="none" w:sz="0" w:space="0" w:color="auto"/>
      </w:divBdr>
      <w:divsChild>
        <w:div w:id="1057825517">
          <w:marLeft w:val="0"/>
          <w:marRight w:val="0"/>
          <w:marTop w:val="0"/>
          <w:marBottom w:val="0"/>
          <w:divBdr>
            <w:top w:val="none" w:sz="0" w:space="0" w:color="auto"/>
            <w:left w:val="none" w:sz="0" w:space="0" w:color="auto"/>
            <w:bottom w:val="none" w:sz="0" w:space="0" w:color="auto"/>
            <w:right w:val="none" w:sz="0" w:space="0" w:color="auto"/>
          </w:divBdr>
        </w:div>
        <w:div w:id="1936358366">
          <w:marLeft w:val="0"/>
          <w:marRight w:val="0"/>
          <w:marTop w:val="0"/>
          <w:marBottom w:val="0"/>
          <w:divBdr>
            <w:top w:val="none" w:sz="0" w:space="0" w:color="auto"/>
            <w:left w:val="none" w:sz="0" w:space="0" w:color="auto"/>
            <w:bottom w:val="none" w:sz="0" w:space="0" w:color="auto"/>
            <w:right w:val="none" w:sz="0" w:space="0" w:color="auto"/>
          </w:divBdr>
        </w:div>
        <w:div w:id="655645028">
          <w:marLeft w:val="0"/>
          <w:marRight w:val="0"/>
          <w:marTop w:val="0"/>
          <w:marBottom w:val="0"/>
          <w:divBdr>
            <w:top w:val="none" w:sz="0" w:space="0" w:color="auto"/>
            <w:left w:val="none" w:sz="0" w:space="0" w:color="auto"/>
            <w:bottom w:val="none" w:sz="0" w:space="0" w:color="auto"/>
            <w:right w:val="none" w:sz="0" w:space="0" w:color="auto"/>
          </w:divBdr>
        </w:div>
      </w:divsChild>
    </w:div>
    <w:div w:id="2113277123">
      <w:bodyDiv w:val="1"/>
      <w:marLeft w:val="0"/>
      <w:marRight w:val="0"/>
      <w:marTop w:val="0"/>
      <w:marBottom w:val="0"/>
      <w:divBdr>
        <w:top w:val="none" w:sz="0" w:space="0" w:color="auto"/>
        <w:left w:val="none" w:sz="0" w:space="0" w:color="auto"/>
        <w:bottom w:val="none" w:sz="0" w:space="0" w:color="auto"/>
        <w:right w:val="none" w:sz="0" w:space="0" w:color="auto"/>
      </w:divBdr>
      <w:divsChild>
        <w:div w:id="626938353">
          <w:marLeft w:val="0"/>
          <w:marRight w:val="0"/>
          <w:marTop w:val="0"/>
          <w:marBottom w:val="0"/>
          <w:divBdr>
            <w:top w:val="none" w:sz="0" w:space="0" w:color="auto"/>
            <w:left w:val="none" w:sz="0" w:space="0" w:color="auto"/>
            <w:bottom w:val="none" w:sz="0" w:space="0" w:color="auto"/>
            <w:right w:val="none" w:sz="0" w:space="0" w:color="auto"/>
          </w:divBdr>
        </w:div>
        <w:div w:id="982001817">
          <w:marLeft w:val="0"/>
          <w:marRight w:val="0"/>
          <w:marTop w:val="0"/>
          <w:marBottom w:val="0"/>
          <w:divBdr>
            <w:top w:val="none" w:sz="0" w:space="0" w:color="auto"/>
            <w:left w:val="none" w:sz="0" w:space="0" w:color="auto"/>
            <w:bottom w:val="none" w:sz="0" w:space="0" w:color="auto"/>
            <w:right w:val="none" w:sz="0" w:space="0" w:color="auto"/>
          </w:divBdr>
        </w:div>
        <w:div w:id="1528391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1631</TotalTime>
  <Pages>1</Pages>
  <Words>520</Words>
  <Characters>2964</Characters>
  <Application>Microsoft Office Word</Application>
  <DocSecurity>0</DocSecurity>
  <Lines>24</Lines>
  <Paragraphs>6</Paragraphs>
  <ScaleCrop>false</ScaleCrop>
  <Company/>
  <LinksUpToDate>false</LinksUpToDate>
  <CharactersWithSpaces>3478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14</cp:revision>
  <dcterms:created xsi:type="dcterms:W3CDTF">2020-07-21T08:01:00Z</dcterms:created>
  <dcterms:modified xsi:type="dcterms:W3CDTF">2020-07-28T12:30:00Z</dcterms:modified>
</cp:coreProperties>
</file>