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5EA" w:rsidRPr="002465EA" w:rsidRDefault="002465EA" w:rsidP="002465EA">
      <w:pPr>
        <w:shd w:val="clear" w:color="auto" w:fill="FFFFFF"/>
        <w:spacing w:after="150" w:line="375" w:lineRule="atLeast"/>
        <w:rPr>
          <w:rFonts w:ascii="Arial" w:eastAsia="Times New Roman" w:hAnsi="Arial" w:cs="Arial"/>
          <w:color w:val="4B4C4E"/>
          <w:sz w:val="29"/>
          <w:szCs w:val="29"/>
          <w:lang w:eastAsia="tr-TR"/>
        </w:rPr>
      </w:pPr>
      <w:r w:rsidRPr="002465EA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Comparison of the severity of traumatic brain injuries in pedestrians and occupants of motor vehicles admitted to Firat health center: a five-year series in an Eastern Turkish city</w:t>
      </w:r>
    </w:p>
    <w:p w:rsidR="002465EA" w:rsidRPr="002465EA" w:rsidRDefault="002465EA" w:rsidP="002465EA">
      <w:pPr>
        <w:shd w:val="clear" w:color="auto" w:fill="FFFFFF"/>
        <w:spacing w:after="75" w:line="255" w:lineRule="atLeast"/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</w:pPr>
      <w:r w:rsidRPr="002465EA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>Mehmet Tokdemir, Huseyin Kafadar, Abdurrahim Turkoglu, S. Erhan Deveci, Cemil Colak</w:t>
      </w:r>
    </w:p>
    <w:p w:rsidR="002465EA" w:rsidRPr="002465EA" w:rsidRDefault="002465EA" w:rsidP="002465EA">
      <w:pPr>
        <w:shd w:val="clear" w:color="auto" w:fill="FFFFFF"/>
        <w:spacing w:after="75" w:line="255" w:lineRule="atLeast"/>
        <w:rPr>
          <w:rFonts w:ascii="Arial" w:eastAsia="Times New Roman" w:hAnsi="Arial" w:cs="Arial"/>
          <w:b/>
          <w:bCs/>
          <w:color w:val="002C5B"/>
          <w:sz w:val="21"/>
          <w:szCs w:val="21"/>
          <w:lang w:eastAsia="tr-TR"/>
        </w:rPr>
      </w:pPr>
      <w:r w:rsidRPr="002465EA">
        <w:rPr>
          <w:rFonts w:ascii="Arial" w:eastAsia="Times New Roman" w:hAnsi="Arial" w:cs="Arial"/>
          <w:b/>
          <w:bCs/>
          <w:color w:val="002C5B"/>
          <w:sz w:val="21"/>
          <w:szCs w:val="21"/>
          <w:lang w:eastAsia="tr-TR"/>
        </w:rPr>
        <w:t>Med Sci Monit 2009; 15(1): PI1-4</w:t>
      </w:r>
    </w:p>
    <w:p w:rsidR="002465EA" w:rsidRPr="002465EA" w:rsidRDefault="002465EA" w:rsidP="002465EA">
      <w:pPr>
        <w:shd w:val="clear" w:color="auto" w:fill="FFFFFF"/>
        <w:spacing w:after="75" w:line="255" w:lineRule="atLeast"/>
        <w:rPr>
          <w:rFonts w:ascii="Arial" w:eastAsia="Times New Roman" w:hAnsi="Arial" w:cs="Arial"/>
          <w:color w:val="002C5B"/>
          <w:sz w:val="21"/>
          <w:szCs w:val="21"/>
          <w:lang w:eastAsia="tr-TR"/>
        </w:rPr>
      </w:pPr>
      <w:r w:rsidRPr="002465EA">
        <w:rPr>
          <w:rFonts w:ascii="Arial" w:eastAsia="Times New Roman" w:hAnsi="Arial" w:cs="Arial"/>
          <w:color w:val="002C5B"/>
          <w:sz w:val="21"/>
          <w:szCs w:val="21"/>
          <w:lang w:eastAsia="tr-TR"/>
        </w:rPr>
        <w:t>ID: 869506</w:t>
      </w:r>
    </w:p>
    <w:p w:rsidR="002465EA" w:rsidRPr="002465EA" w:rsidRDefault="002465EA" w:rsidP="002465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465EA">
        <w:rPr>
          <w:rFonts w:ascii="Arial" w:eastAsia="Times New Roman" w:hAnsi="Arial" w:cs="Arial"/>
          <w:color w:val="4B4C4E"/>
          <w:sz w:val="20"/>
          <w:szCs w:val="20"/>
          <w:lang w:eastAsia="tr-TR"/>
        </w:rPr>
        <w:br w:type="textWrapping" w:clear="all"/>
      </w:r>
    </w:p>
    <w:p w:rsidR="002465EA" w:rsidRPr="002465EA" w:rsidRDefault="002465EA" w:rsidP="002465EA">
      <w:pPr>
        <w:shd w:val="clear" w:color="auto" w:fill="FFFFFF"/>
        <w:spacing w:line="255" w:lineRule="atLeast"/>
        <w:rPr>
          <w:rFonts w:ascii="Arial" w:eastAsia="Times New Roman" w:hAnsi="Arial" w:cs="Arial"/>
          <w:color w:val="4B4C4E"/>
          <w:sz w:val="20"/>
          <w:szCs w:val="20"/>
          <w:lang w:eastAsia="tr-TR"/>
        </w:rPr>
      </w:pPr>
      <w:r w:rsidRPr="002465EA">
        <w:rPr>
          <w:rFonts w:ascii="Arial" w:eastAsia="Times New Roman" w:hAnsi="Arial" w:cs="Arial"/>
          <w:b/>
          <w:bCs/>
          <w:color w:val="4B4C4E"/>
          <w:sz w:val="20"/>
          <w:szCs w:val="20"/>
          <w:lang w:eastAsia="tr-TR"/>
        </w:rPr>
        <w:t>Background</w:t>
      </w:r>
      <w:r w:rsidRPr="002465EA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: Traumatic brain injury is the leading cause of death of people in motor vehicle (MV) accidents, which have been increasing in number in developing countries. A retrospective study was undertaken to evaluate all cases admitted to the emergency department of the authors' institution with suspected injury after involvement in a MV-related accident between January 2000 and January 2005.</w:t>
      </w:r>
      <w:r w:rsidRPr="002465EA">
        <w:rPr>
          <w:rFonts w:ascii="Arial" w:eastAsia="Times New Roman" w:hAnsi="Arial" w:cs="Arial"/>
          <w:color w:val="4B4C4E"/>
          <w:sz w:val="20"/>
          <w:szCs w:val="20"/>
          <w:lang w:eastAsia="tr-TR"/>
        </w:rPr>
        <w:br/>
      </w:r>
      <w:r w:rsidRPr="002465EA">
        <w:rPr>
          <w:rFonts w:ascii="Arial" w:eastAsia="Times New Roman" w:hAnsi="Arial" w:cs="Arial"/>
          <w:b/>
          <w:bCs/>
          <w:color w:val="4B4C4E"/>
          <w:sz w:val="20"/>
          <w:szCs w:val="20"/>
          <w:lang w:eastAsia="tr-TR"/>
        </w:rPr>
        <w:t>Material and Method</w:t>
      </w:r>
      <w:r w:rsidRPr="002465EA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: During the study period a total of 2014 cases were admitted: 1258 were occupants of motor vehicles and 756 were pedestrians. Cases with traumatic brain injury were evaluated with respect to gender, age, Glasgow Coma Scales (GCS), and death.</w:t>
      </w:r>
      <w:r w:rsidRPr="002465EA">
        <w:rPr>
          <w:rFonts w:ascii="Arial" w:eastAsia="Times New Roman" w:hAnsi="Arial" w:cs="Arial"/>
          <w:color w:val="4B4C4E"/>
          <w:sz w:val="20"/>
          <w:szCs w:val="20"/>
          <w:lang w:eastAsia="tr-TR"/>
        </w:rPr>
        <w:br/>
      </w:r>
      <w:r w:rsidRPr="002465EA">
        <w:rPr>
          <w:rFonts w:ascii="Arial" w:eastAsia="Times New Roman" w:hAnsi="Arial" w:cs="Arial"/>
          <w:b/>
          <w:bCs/>
          <w:color w:val="4B4C4E"/>
          <w:sz w:val="20"/>
          <w:szCs w:val="20"/>
          <w:lang w:eastAsia="tr-TR"/>
        </w:rPr>
        <w:t>Results</w:t>
      </w:r>
      <w:r w:rsidRPr="002465EA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: Five hundred thirty-two of the cases (386 male, 146 female, mean age: 26.8+/-20.3 years) involved in MV accidents experienced traumatic brain injuries, of which 299 were MV occupants and 233 were pedestrians. The pediatric (&lt; or =16 years: 65.4%) and elderly (&gt; or =65 years: 64.7%) groups were frequently involved as pedestrians in MV accidents; adults 17-64 years of age were involved as pedestrians at a lower rate (25.4%, p&lt;0.001). The GCS values of the pedestrian victims were significantly lower than those of the MV occupants on admission (p&lt;0.001).</w:t>
      </w:r>
      <w:r w:rsidRPr="002465EA">
        <w:rPr>
          <w:rFonts w:ascii="Arial" w:eastAsia="Times New Roman" w:hAnsi="Arial" w:cs="Arial"/>
          <w:color w:val="4B4C4E"/>
          <w:sz w:val="20"/>
          <w:szCs w:val="20"/>
          <w:lang w:eastAsia="tr-TR"/>
        </w:rPr>
        <w:br/>
      </w:r>
      <w:r w:rsidRPr="002465EA">
        <w:rPr>
          <w:rFonts w:ascii="Arial" w:eastAsia="Times New Roman" w:hAnsi="Arial" w:cs="Arial"/>
          <w:b/>
          <w:bCs/>
          <w:color w:val="4B4C4E"/>
          <w:sz w:val="20"/>
          <w:szCs w:val="20"/>
          <w:lang w:eastAsia="tr-TR"/>
        </w:rPr>
        <w:t>Conclusions</w:t>
      </w:r>
      <w:r w:rsidRPr="002465EA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: The results show that improvements in car safety have reduced life-threatening conditions for occupants of motor vehicles, but this does not include pedestrian safety. There is great need for practical strategies to reduce or prevent MV accident-related injuries among pedestrians, especially for the pediatric and elderly groups who are most exposed to these injuries</w:t>
      </w:r>
    </w:p>
    <w:p w:rsidR="00C616D2" w:rsidRDefault="00C616D2"/>
    <w:sectPr w:rsidR="00C616D2" w:rsidSect="00C616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465EA"/>
    <w:rsid w:val="002465EA"/>
    <w:rsid w:val="00C616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16D2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blue">
    <w:name w:val="blue"/>
    <w:basedOn w:val="Normal"/>
    <w:rsid w:val="002465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2465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752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39831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2503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1634</Characters>
  <Application>Microsoft Office Word</Application>
  <DocSecurity>0</DocSecurity>
  <Lines>13</Lines>
  <Paragraphs>3</Paragraphs>
  <ScaleCrop>false</ScaleCrop>
  <Company/>
  <LinksUpToDate>false</LinksUpToDate>
  <CharactersWithSpaces>1917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2017-08-21T12:04:00Z</dcterms:created>
  <dcterms:modified xsi:type="dcterms:W3CDTF">2017-08-21T12:04:00Z</dcterms:modified>
</cp:coreProperties>
</file>