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6580" w:rsidRPr="00046580" w:rsidRDefault="00046580" w:rsidP="00046580">
      <w:pPr>
        <w:shd w:val="clear" w:color="auto" w:fill="FFFFFF"/>
        <w:spacing w:after="0" w:line="240" w:lineRule="auto"/>
        <w:jc w:val="both"/>
        <w:rPr>
          <w:rFonts w:ascii="Arial" w:eastAsia="Times New Roman" w:hAnsi="Arial" w:cs="Arial"/>
          <w:color w:val="000000"/>
          <w:sz w:val="21"/>
          <w:szCs w:val="21"/>
          <w:lang w:eastAsia="tr-TR"/>
        </w:rPr>
      </w:pPr>
      <w:r w:rsidRPr="00046580">
        <w:rPr>
          <w:rFonts w:ascii="Arial" w:eastAsia="Times New Roman" w:hAnsi="Arial" w:cs="Arial"/>
          <w:color w:val="000000"/>
          <w:sz w:val="21"/>
          <w:szCs w:val="21"/>
          <w:lang w:eastAsia="tr-TR"/>
        </w:rPr>
        <w:t>Öz:The crimes of rape and sexual assault are regulated in the sixth part of the Turkish Penal Code No.5237 under crimes against persons’ (TPC Art.102/1-2). The subject of our study is related to whether the rules for voluntary withdrawal could be applied to the simple and qualified form of the crimes of rape and sexual assault. In this context, it has caused a debate in the doctrine whether the crimes regulated in TPC Art.102/1 and 102/2 are independent. For this reason, first of all the simple and qualified form of the crime have been dealt with in this study and dwelled on the legal nature thereof. Right after, the simple and qualified form of this crime was analyzed in terms of the perspective of voluntary withdrawal in light of doctrine and practice. In the conclusion part of our study, the results we obtained in the light of these analyzes were presented.</w:t>
      </w:r>
    </w:p>
    <w:p w:rsidR="005346C9" w:rsidRPr="00046580" w:rsidRDefault="005346C9" w:rsidP="00046580">
      <w:bookmarkStart w:id="0" w:name="_GoBack"/>
      <w:bookmarkEnd w:id="0"/>
    </w:p>
    <w:sectPr w:rsidR="005346C9" w:rsidRPr="000465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0CD3" w:rsidRDefault="001F0CD3" w:rsidP="00362035">
      <w:pPr>
        <w:spacing w:after="0" w:line="240" w:lineRule="auto"/>
      </w:pPr>
      <w:r>
        <w:separator/>
      </w:r>
    </w:p>
  </w:endnote>
  <w:endnote w:type="continuationSeparator" w:id="0">
    <w:p w:rsidR="001F0CD3" w:rsidRDefault="001F0CD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0CD3" w:rsidRDefault="001F0CD3" w:rsidP="00362035">
      <w:pPr>
        <w:spacing w:after="0" w:line="240" w:lineRule="auto"/>
      </w:pPr>
      <w:r>
        <w:separator/>
      </w:r>
    </w:p>
  </w:footnote>
  <w:footnote w:type="continuationSeparator" w:id="0">
    <w:p w:rsidR="001F0CD3" w:rsidRDefault="001F0CD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580"/>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0CD3"/>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205C"/>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074B"/>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034F"/>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34C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84959386">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6924702">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6661554">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8064</TotalTime>
  <Pages>1</Pages>
  <Words>130</Words>
  <Characters>744</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710</cp:revision>
  <dcterms:created xsi:type="dcterms:W3CDTF">2021-10-26T14:07:00Z</dcterms:created>
  <dcterms:modified xsi:type="dcterms:W3CDTF">2022-02-08T07:28:00Z</dcterms:modified>
</cp:coreProperties>
</file>