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7D02" w:rsidRPr="00B47D02" w:rsidRDefault="00B47D02" w:rsidP="00B47D02">
      <w:r w:rsidRPr="00B47D02">
        <w:t>Öz:Heterotopik gebelik aynı anda intrauterin ve ekstra uterin gebeliğin birlikte bulunduğu oldukça nadir rastlanan bir durumdur. Bununla birlikte ovulasyon indüksiyonu ve yardımcı üreme tekniklerindeki gelişme insidansını arttırmaktadır. Olgu 34 yaşında klomifenle indüksiyon sonrası ektopik gebelik ön tanısı ile hospitalize edildi. Intrauterin komponenti anembrionik gebelik olarak sonuçlanan ve D&amp;C yapılan, ektopik gebeliğide düşük beta-hCG seviyeleri, klinik semptomların hafif olması göz önüne alınarak müdahalesiz izlenen heterotopik gebelik olgusu literatür gözden geçirilerek sunulmuştur.</w:t>
      </w:r>
    </w:p>
    <w:p w:rsidR="002F7548" w:rsidRPr="00B47D02" w:rsidRDefault="002F7548" w:rsidP="00B47D02">
      <w:bookmarkStart w:id="0" w:name="_GoBack"/>
      <w:bookmarkEnd w:id="0"/>
    </w:p>
    <w:sectPr w:rsidR="002F7548" w:rsidRPr="00B47D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54DD" w:rsidRDefault="000B54DD" w:rsidP="0070147E">
      <w:pPr>
        <w:spacing w:after="0" w:line="240" w:lineRule="auto"/>
      </w:pPr>
      <w:r>
        <w:separator/>
      </w:r>
    </w:p>
  </w:endnote>
  <w:endnote w:type="continuationSeparator" w:id="0">
    <w:p w:rsidR="000B54DD" w:rsidRDefault="000B54DD"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54DD" w:rsidRDefault="000B54DD" w:rsidP="0070147E">
      <w:pPr>
        <w:spacing w:after="0" w:line="240" w:lineRule="auto"/>
      </w:pPr>
      <w:r>
        <w:separator/>
      </w:r>
    </w:p>
  </w:footnote>
  <w:footnote w:type="continuationSeparator" w:id="0">
    <w:p w:rsidR="000B54DD" w:rsidRDefault="000B54DD"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B54DD"/>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93169"/>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47D02"/>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F0B"/>
    <w:rsid w:val="00E34FF4"/>
    <w:rsid w:val="00E66C70"/>
    <w:rsid w:val="00E947BB"/>
    <w:rsid w:val="00EA5D68"/>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11071</TotalTime>
  <Pages>1</Pages>
  <Words>89</Words>
  <Characters>510</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208</cp:revision>
  <dcterms:created xsi:type="dcterms:W3CDTF">2020-08-02T19:25:00Z</dcterms:created>
  <dcterms:modified xsi:type="dcterms:W3CDTF">2020-09-23T16:11:00Z</dcterms:modified>
</cp:coreProperties>
</file>