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3522" w:rsidRPr="00C23522" w:rsidRDefault="00C23522" w:rsidP="00C23522">
      <w:proofErr w:type="spellStart"/>
      <w:proofErr w:type="gramStart"/>
      <w:r w:rsidRPr="00C23522">
        <w:t>Öz:Amaç</w:t>
      </w:r>
      <w:proofErr w:type="spellEnd"/>
      <w:proofErr w:type="gramEnd"/>
      <w:r w:rsidRPr="00C23522">
        <w:t xml:space="preserve">: Tip 2 diyabette belirgin klinik </w:t>
      </w:r>
      <w:proofErr w:type="spellStart"/>
      <w:r w:rsidRPr="00C23522">
        <w:t>retinopati</w:t>
      </w:r>
      <w:proofErr w:type="spellEnd"/>
      <w:r w:rsidRPr="00C23522">
        <w:t xml:space="preserve"> bulguları ortaya çıkmadan önce, santral görme alanında oluşabilecek değişiklikleri renkli ve renkli olmayan görme alanı testleri ile karşılaştırmalı incelemeyi </w:t>
      </w:r>
      <w:proofErr w:type="spellStart"/>
      <w:r w:rsidRPr="00C23522">
        <w:t>amaçladık.Gereç</w:t>
      </w:r>
      <w:proofErr w:type="spellEnd"/>
      <w:r w:rsidRPr="00C23522">
        <w:t xml:space="preserve"> ve Yöntemler: İnönü Üniversitesi Tıp Fakültesi Endokrinoloji ve Göz Klinikleri’ </w:t>
      </w:r>
      <w:proofErr w:type="spellStart"/>
      <w:r w:rsidRPr="00C23522">
        <w:t>nde</w:t>
      </w:r>
      <w:proofErr w:type="spellEnd"/>
      <w:r w:rsidRPr="00C23522">
        <w:t xml:space="preserve"> Tip 2 diyabet tanısı ile takip edilen 47 hasta çalışma kapsamına alındı. </w:t>
      </w:r>
      <w:proofErr w:type="spellStart"/>
      <w:r w:rsidRPr="00C23522">
        <w:t>Retinopatisi</w:t>
      </w:r>
      <w:proofErr w:type="spellEnd"/>
      <w:r w:rsidRPr="00C23522">
        <w:t xml:space="preserve"> olmayan 26 hasta ve başlangıç </w:t>
      </w:r>
      <w:proofErr w:type="spellStart"/>
      <w:r w:rsidRPr="00C23522">
        <w:t>retinopatili</w:t>
      </w:r>
      <w:proofErr w:type="spellEnd"/>
      <w:r w:rsidRPr="00C23522">
        <w:t xml:space="preserve"> 21 hastanın her iki gözünde, </w:t>
      </w:r>
      <w:proofErr w:type="spellStart"/>
      <w:r w:rsidRPr="00C23522">
        <w:t>Humphrey</w:t>
      </w:r>
      <w:proofErr w:type="spellEnd"/>
      <w:r w:rsidRPr="00C23522">
        <w:t xml:space="preserve"> </w:t>
      </w:r>
      <w:proofErr w:type="spellStart"/>
      <w:r w:rsidRPr="00C23522">
        <w:t>Field</w:t>
      </w:r>
      <w:proofErr w:type="spellEnd"/>
      <w:r w:rsidRPr="00C23522">
        <w:t xml:space="preserve"> Analyzer (HFA-750) ile renkli (sarı zeminde mavi) ve renkli olmayan santral 30-2 eşik testi uygulandı. Benzer yaş ve cinsiyet dağılımına sahip 12 sağlıklı olgunun 24 gözü kontrol grubu olarak incelendi. Demografik özellikler, kan HbA1c düzeyi ve objektif görme alanı parametreleri olarak ortalama sapma (MD) ve </w:t>
      </w:r>
      <w:proofErr w:type="spellStart"/>
      <w:r w:rsidRPr="00C23522">
        <w:t>patern</w:t>
      </w:r>
      <w:proofErr w:type="spellEnd"/>
      <w:r w:rsidRPr="00C23522">
        <w:t xml:space="preserve"> standart sapma (PSD) değerleri gruplar arasında istatistiksel yöntemlerle karşılaştırıldı. Bulgular: Yaş ve cinsiyet dağılımı yönünden gruplar arasında farklılık yoktu. Ortalama hastalık süresi başlangıç </w:t>
      </w:r>
      <w:proofErr w:type="spellStart"/>
      <w:r w:rsidRPr="00C23522">
        <w:t>retinopati</w:t>
      </w:r>
      <w:proofErr w:type="spellEnd"/>
      <w:r w:rsidRPr="00C23522">
        <w:t xml:space="preserve"> grubunda </w:t>
      </w:r>
      <w:proofErr w:type="spellStart"/>
      <w:r w:rsidRPr="00C23522">
        <w:t>retinopatisi</w:t>
      </w:r>
      <w:proofErr w:type="spellEnd"/>
      <w:r w:rsidRPr="00C23522">
        <w:t xml:space="preserve"> olmayan gruba göre, anlamlı olarak uzundu (p=</w:t>
      </w:r>
      <w:proofErr w:type="gramStart"/>
      <w:r w:rsidRPr="00C23522">
        <w:t>0.0001</w:t>
      </w:r>
      <w:proofErr w:type="gramEnd"/>
      <w:r w:rsidRPr="00C23522">
        <w:t xml:space="preserve">). Diyabetik hasta gruplarında, kontrol grubuna göre, renkli ve renkli olmayan görme alanlarında MD’ deki azalma ve PSD deki artma istatistiksel olarak anlamlıydı (p&lt;0.05). Başlangıç </w:t>
      </w:r>
      <w:proofErr w:type="spellStart"/>
      <w:r w:rsidRPr="00C23522">
        <w:t>retinopati</w:t>
      </w:r>
      <w:proofErr w:type="spellEnd"/>
      <w:r w:rsidRPr="00C23522">
        <w:t xml:space="preserve"> grubu, </w:t>
      </w:r>
      <w:proofErr w:type="spellStart"/>
      <w:r w:rsidRPr="00C23522">
        <w:t>retinopatisi</w:t>
      </w:r>
      <w:proofErr w:type="spellEnd"/>
      <w:r w:rsidRPr="00C23522">
        <w:t xml:space="preserve"> olmayan gruba göre renkli görme alanı testlerinde MD </w:t>
      </w:r>
      <w:proofErr w:type="spellStart"/>
      <w:r w:rsidRPr="00C23522">
        <w:t>daki</w:t>
      </w:r>
      <w:proofErr w:type="spellEnd"/>
      <w:r w:rsidRPr="00C23522">
        <w:t xml:space="preserve"> azalma ve PSD değerlerinde artma belirgin olup (P&lt;0.05), renkli olmayan görme alanı testlerinde anlamlı değildi (P&gt; 0.05). Diyabetik hastalarda diyabetin süresi ve kan HbA1c düzeyleri ile MD ve PSD değerleri arasındaki </w:t>
      </w:r>
      <w:proofErr w:type="gramStart"/>
      <w:r w:rsidRPr="00C23522">
        <w:t>korelasyon</w:t>
      </w:r>
      <w:proofErr w:type="gramEnd"/>
      <w:r w:rsidRPr="00C23522">
        <w:t xml:space="preserve"> istatistiksel olarak anlamlı değildi (p&gt;0.05). Diyabetik hastalardaki lokal görme alanı kayıpları renkli ve renkli olmayan görme alanı testlerinde çoğunlukla 20-30 derece arasında ve üst yarıda yerleşim </w:t>
      </w:r>
      <w:proofErr w:type="spellStart"/>
      <w:proofErr w:type="gramStart"/>
      <w:r w:rsidRPr="00C23522">
        <w:t>gösteriyordu.Sonuç</w:t>
      </w:r>
      <w:proofErr w:type="spellEnd"/>
      <w:proofErr w:type="gramEnd"/>
      <w:r w:rsidRPr="00C23522">
        <w:t xml:space="preserve">: Tip 2 diyabetli hastalarda belirgin klinik </w:t>
      </w:r>
      <w:proofErr w:type="spellStart"/>
      <w:r w:rsidRPr="00C23522">
        <w:t>retinopati</w:t>
      </w:r>
      <w:proofErr w:type="spellEnd"/>
      <w:r w:rsidRPr="00C23522">
        <w:t xml:space="preserve"> bulguları ortaya çıkmadan önce, retina duyarlılığında azalma ve görme alanı kayıpları olabilmektedir. Bilgisayarlı renkli </w:t>
      </w:r>
      <w:proofErr w:type="spellStart"/>
      <w:r w:rsidRPr="00C23522">
        <w:t>perimetre</w:t>
      </w:r>
      <w:proofErr w:type="spellEnd"/>
      <w:r w:rsidRPr="00C23522">
        <w:t xml:space="preserve">, </w:t>
      </w:r>
      <w:proofErr w:type="spellStart"/>
      <w:r w:rsidRPr="00C23522">
        <w:t>preklinik</w:t>
      </w:r>
      <w:proofErr w:type="spellEnd"/>
      <w:r w:rsidRPr="00C23522">
        <w:t xml:space="preserve"> görme alanı kayıplarını belirlemede renkli olmayan </w:t>
      </w:r>
      <w:proofErr w:type="spellStart"/>
      <w:r w:rsidRPr="00C23522">
        <w:t>perimetreden</w:t>
      </w:r>
      <w:proofErr w:type="spellEnd"/>
      <w:r w:rsidRPr="00C23522">
        <w:t xml:space="preserve"> daha duyarlı bir yöntemdir.</w:t>
      </w:r>
    </w:p>
    <w:p w:rsidR="00813973" w:rsidRPr="00C23522" w:rsidRDefault="00813973" w:rsidP="00C23522">
      <w:bookmarkStart w:id="0" w:name="_GoBack"/>
      <w:bookmarkEnd w:id="0"/>
    </w:p>
    <w:sectPr w:rsidR="00813973" w:rsidRPr="00C2352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C8C"/>
    <w:rsid w:val="00013056"/>
    <w:rsid w:val="001E6AF7"/>
    <w:rsid w:val="00465166"/>
    <w:rsid w:val="004D4B39"/>
    <w:rsid w:val="00813973"/>
    <w:rsid w:val="00927C8C"/>
    <w:rsid w:val="00AF3B20"/>
    <w:rsid w:val="00B26E21"/>
    <w:rsid w:val="00B92A39"/>
    <w:rsid w:val="00BF6F03"/>
    <w:rsid w:val="00C23522"/>
    <w:rsid w:val="00E55D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19A85-2810-4556-84E9-F9F4CCFBE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55739">
      <w:bodyDiv w:val="1"/>
      <w:marLeft w:val="0"/>
      <w:marRight w:val="0"/>
      <w:marTop w:val="0"/>
      <w:marBottom w:val="0"/>
      <w:divBdr>
        <w:top w:val="none" w:sz="0" w:space="0" w:color="auto"/>
        <w:left w:val="none" w:sz="0" w:space="0" w:color="auto"/>
        <w:bottom w:val="none" w:sz="0" w:space="0" w:color="auto"/>
        <w:right w:val="none" w:sz="0" w:space="0" w:color="auto"/>
      </w:divBdr>
    </w:div>
    <w:div w:id="278335777">
      <w:bodyDiv w:val="1"/>
      <w:marLeft w:val="0"/>
      <w:marRight w:val="0"/>
      <w:marTop w:val="0"/>
      <w:marBottom w:val="0"/>
      <w:divBdr>
        <w:top w:val="none" w:sz="0" w:space="0" w:color="auto"/>
        <w:left w:val="none" w:sz="0" w:space="0" w:color="auto"/>
        <w:bottom w:val="none" w:sz="0" w:space="0" w:color="auto"/>
        <w:right w:val="none" w:sz="0" w:space="0" w:color="auto"/>
      </w:divBdr>
    </w:div>
    <w:div w:id="377700830">
      <w:bodyDiv w:val="1"/>
      <w:marLeft w:val="0"/>
      <w:marRight w:val="0"/>
      <w:marTop w:val="0"/>
      <w:marBottom w:val="0"/>
      <w:divBdr>
        <w:top w:val="none" w:sz="0" w:space="0" w:color="auto"/>
        <w:left w:val="none" w:sz="0" w:space="0" w:color="auto"/>
        <w:bottom w:val="none" w:sz="0" w:space="0" w:color="auto"/>
        <w:right w:val="none" w:sz="0" w:space="0" w:color="auto"/>
      </w:divBdr>
    </w:div>
    <w:div w:id="510024160">
      <w:bodyDiv w:val="1"/>
      <w:marLeft w:val="0"/>
      <w:marRight w:val="0"/>
      <w:marTop w:val="0"/>
      <w:marBottom w:val="0"/>
      <w:divBdr>
        <w:top w:val="none" w:sz="0" w:space="0" w:color="auto"/>
        <w:left w:val="none" w:sz="0" w:space="0" w:color="auto"/>
        <w:bottom w:val="none" w:sz="0" w:space="0" w:color="auto"/>
        <w:right w:val="none" w:sz="0" w:space="0" w:color="auto"/>
      </w:divBdr>
    </w:div>
    <w:div w:id="591397562">
      <w:bodyDiv w:val="1"/>
      <w:marLeft w:val="0"/>
      <w:marRight w:val="0"/>
      <w:marTop w:val="0"/>
      <w:marBottom w:val="0"/>
      <w:divBdr>
        <w:top w:val="none" w:sz="0" w:space="0" w:color="auto"/>
        <w:left w:val="none" w:sz="0" w:space="0" w:color="auto"/>
        <w:bottom w:val="none" w:sz="0" w:space="0" w:color="auto"/>
        <w:right w:val="none" w:sz="0" w:space="0" w:color="auto"/>
      </w:divBdr>
    </w:div>
    <w:div w:id="849829262">
      <w:bodyDiv w:val="1"/>
      <w:marLeft w:val="0"/>
      <w:marRight w:val="0"/>
      <w:marTop w:val="0"/>
      <w:marBottom w:val="0"/>
      <w:divBdr>
        <w:top w:val="none" w:sz="0" w:space="0" w:color="auto"/>
        <w:left w:val="none" w:sz="0" w:space="0" w:color="auto"/>
        <w:bottom w:val="none" w:sz="0" w:space="0" w:color="auto"/>
        <w:right w:val="none" w:sz="0" w:space="0" w:color="auto"/>
      </w:divBdr>
    </w:div>
    <w:div w:id="1865433321">
      <w:bodyDiv w:val="1"/>
      <w:marLeft w:val="0"/>
      <w:marRight w:val="0"/>
      <w:marTop w:val="0"/>
      <w:marBottom w:val="0"/>
      <w:divBdr>
        <w:top w:val="none" w:sz="0" w:space="0" w:color="auto"/>
        <w:left w:val="none" w:sz="0" w:space="0" w:color="auto"/>
        <w:bottom w:val="none" w:sz="0" w:space="0" w:color="auto"/>
        <w:right w:val="none" w:sz="0" w:space="0" w:color="auto"/>
      </w:divBdr>
    </w:div>
    <w:div w:id="1870531428">
      <w:bodyDiv w:val="1"/>
      <w:marLeft w:val="0"/>
      <w:marRight w:val="0"/>
      <w:marTop w:val="0"/>
      <w:marBottom w:val="0"/>
      <w:divBdr>
        <w:top w:val="none" w:sz="0" w:space="0" w:color="auto"/>
        <w:left w:val="none" w:sz="0" w:space="0" w:color="auto"/>
        <w:bottom w:val="none" w:sz="0" w:space="0" w:color="auto"/>
        <w:right w:val="none" w:sz="0" w:space="0" w:color="auto"/>
      </w:divBdr>
    </w:div>
    <w:div w:id="1987197749">
      <w:bodyDiv w:val="1"/>
      <w:marLeft w:val="0"/>
      <w:marRight w:val="0"/>
      <w:marTop w:val="0"/>
      <w:marBottom w:val="0"/>
      <w:divBdr>
        <w:top w:val="none" w:sz="0" w:space="0" w:color="auto"/>
        <w:left w:val="none" w:sz="0" w:space="0" w:color="auto"/>
        <w:bottom w:val="none" w:sz="0" w:space="0" w:color="auto"/>
        <w:right w:val="none" w:sz="0" w:space="0" w:color="auto"/>
      </w:divBdr>
      <w:divsChild>
        <w:div w:id="1376199083">
          <w:marLeft w:val="0"/>
          <w:marRight w:val="0"/>
          <w:marTop w:val="0"/>
          <w:marBottom w:val="0"/>
          <w:divBdr>
            <w:top w:val="none" w:sz="0" w:space="0" w:color="auto"/>
            <w:left w:val="none" w:sz="0" w:space="0" w:color="auto"/>
            <w:bottom w:val="none" w:sz="0" w:space="0" w:color="auto"/>
            <w:right w:val="none" w:sz="0" w:space="0" w:color="auto"/>
          </w:divBdr>
          <w:divsChild>
            <w:div w:id="1502575198">
              <w:marLeft w:val="0"/>
              <w:marRight w:val="0"/>
              <w:marTop w:val="0"/>
              <w:marBottom w:val="0"/>
              <w:divBdr>
                <w:top w:val="none" w:sz="0" w:space="0" w:color="auto"/>
                <w:left w:val="none" w:sz="0" w:space="0" w:color="auto"/>
                <w:bottom w:val="none" w:sz="0" w:space="0" w:color="auto"/>
                <w:right w:val="none" w:sz="0" w:space="0" w:color="auto"/>
              </w:divBdr>
            </w:div>
            <w:div w:id="507062103">
              <w:marLeft w:val="0"/>
              <w:marRight w:val="0"/>
              <w:marTop w:val="0"/>
              <w:marBottom w:val="0"/>
              <w:divBdr>
                <w:top w:val="none" w:sz="0" w:space="0" w:color="auto"/>
                <w:left w:val="none" w:sz="0" w:space="0" w:color="auto"/>
                <w:bottom w:val="none" w:sz="0" w:space="0" w:color="auto"/>
                <w:right w:val="none" w:sz="0" w:space="0" w:color="auto"/>
              </w:divBdr>
            </w:div>
          </w:divsChild>
        </w:div>
        <w:div w:id="2026973724">
          <w:marLeft w:val="0"/>
          <w:marRight w:val="0"/>
          <w:marTop w:val="0"/>
          <w:marBottom w:val="0"/>
          <w:divBdr>
            <w:top w:val="none" w:sz="0" w:space="0" w:color="auto"/>
            <w:left w:val="none" w:sz="0" w:space="0" w:color="auto"/>
            <w:bottom w:val="none" w:sz="0" w:space="0" w:color="auto"/>
            <w:right w:val="none" w:sz="0" w:space="0" w:color="auto"/>
          </w:divBdr>
          <w:divsChild>
            <w:div w:id="553584636">
              <w:marLeft w:val="0"/>
              <w:marRight w:val="0"/>
              <w:marTop w:val="0"/>
              <w:marBottom w:val="0"/>
              <w:divBdr>
                <w:top w:val="none" w:sz="0" w:space="0" w:color="auto"/>
                <w:left w:val="none" w:sz="0" w:space="0" w:color="auto"/>
                <w:bottom w:val="none" w:sz="0" w:space="0" w:color="auto"/>
                <w:right w:val="none" w:sz="0" w:space="0" w:color="auto"/>
              </w:divBdr>
            </w:div>
            <w:div w:id="1330717665">
              <w:marLeft w:val="0"/>
              <w:marRight w:val="0"/>
              <w:marTop w:val="0"/>
              <w:marBottom w:val="0"/>
              <w:divBdr>
                <w:top w:val="none" w:sz="0" w:space="0" w:color="auto"/>
                <w:left w:val="none" w:sz="0" w:space="0" w:color="auto"/>
                <w:bottom w:val="none" w:sz="0" w:space="0" w:color="auto"/>
                <w:right w:val="none" w:sz="0" w:space="0" w:color="auto"/>
              </w:divBdr>
            </w:div>
            <w:div w:id="1428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82</TotalTime>
  <Pages>1</Pages>
  <Words>314</Words>
  <Characters>1792</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2102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16</cp:revision>
  <dcterms:created xsi:type="dcterms:W3CDTF">2020-10-19T18:22:00Z</dcterms:created>
  <dcterms:modified xsi:type="dcterms:W3CDTF">2020-10-21T11:58:00Z</dcterms:modified>
</cp:coreProperties>
</file>