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64422A" w:rsidRDefault="0064422A" w:rsidP="0064422A">
      <w:r w:rsidRPr="0064422A">
        <w:t>Öz:1 Temmuz 2014 tarihinde yürürlüğe giren yeni kanun ile birlikte İsviçre yasa koyucusu, İsviçre Medeni Kanununun velayete ilişkin hükümlerinde değişiklik yapmıştır. Buna göre uluslararası sözleşmelerle ortaya koyulmuş olan çocuğun üstün yararı ilkesine riayet etmek amacıyla ebeveynlerin medeni hâlinden bağımsız olarak, ergin olmayan çocuğun ortak velayet altında olduğu kuralı benimsenmiştir. Ayrıca bu değişiklikle, evlilik dışı doğan çocuğun velayetinin kanunen anada olması ve ananın rızası olmadan babanın ortak velayete sahip olamaması nedeniyle var olan ayrımcılığın önüne geçilmiştir. Bu çalışmanın amacı, İsviçre Medeni Kanunun velayete ilişkin hükümlerinde yapılan değişikliğin temel amaçları ve çerçevesini ortaya koymanın yanı sıra, velayetin kapsamındaki yetkiler bakımından etkilerini de incelemektir.</w:t>
      </w:r>
      <w:bookmarkStart w:id="0" w:name="_GoBack"/>
      <w:bookmarkEnd w:id="0"/>
    </w:p>
    <w:sectPr w:rsidR="002F7548" w:rsidRPr="006442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4422A"/>
    <w:rsid w:val="006908AA"/>
    <w:rsid w:val="006D67A8"/>
    <w:rsid w:val="00725912"/>
    <w:rsid w:val="008C1990"/>
    <w:rsid w:val="00963407"/>
    <w:rsid w:val="00986527"/>
    <w:rsid w:val="00A540B6"/>
    <w:rsid w:val="00AE1F2C"/>
    <w:rsid w:val="00BC65D2"/>
    <w:rsid w:val="00C02CC2"/>
    <w:rsid w:val="00C0649C"/>
    <w:rsid w:val="00C1025C"/>
    <w:rsid w:val="00DE5F0B"/>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4753</TotalTime>
  <Pages>1</Pages>
  <Words>122</Words>
  <Characters>697</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34</cp:revision>
  <dcterms:created xsi:type="dcterms:W3CDTF">2020-08-02T19:25:00Z</dcterms:created>
  <dcterms:modified xsi:type="dcterms:W3CDTF">2020-08-09T10:55:00Z</dcterms:modified>
</cp:coreProperties>
</file>