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2A64" w:rsidRPr="00152A64" w:rsidRDefault="00152A64" w:rsidP="00152A64">
      <w:pPr>
        <w:spacing w:after="90" w:line="480" w:lineRule="atLeast"/>
        <w:outlineLvl w:val="0"/>
        <w:rPr>
          <w:rFonts w:ascii="Arial" w:eastAsia="Times New Roman" w:hAnsi="Arial" w:cs="Arial"/>
          <w:color w:val="505050"/>
          <w:kern w:val="36"/>
          <w:sz w:val="35"/>
          <w:szCs w:val="35"/>
          <w:lang w:eastAsia="tr-TR"/>
        </w:rPr>
      </w:pPr>
      <w:proofErr w:type="spellStart"/>
      <w:r w:rsidRPr="00152A64">
        <w:rPr>
          <w:rFonts w:ascii="Arial" w:eastAsia="Times New Roman" w:hAnsi="Arial" w:cs="Arial"/>
          <w:color w:val="505050"/>
          <w:kern w:val="36"/>
          <w:sz w:val="35"/>
          <w:szCs w:val="35"/>
          <w:lang w:eastAsia="tr-TR"/>
        </w:rPr>
        <w:t>Laparoscopic</w:t>
      </w:r>
      <w:proofErr w:type="spellEnd"/>
      <w:r w:rsidRPr="00152A64">
        <w:rPr>
          <w:rFonts w:ascii="Arial" w:eastAsia="Times New Roman" w:hAnsi="Arial" w:cs="Arial"/>
          <w:color w:val="505050"/>
          <w:kern w:val="36"/>
          <w:sz w:val="35"/>
          <w:szCs w:val="35"/>
          <w:lang w:eastAsia="tr-TR"/>
        </w:rPr>
        <w:t xml:space="preserve"> </w:t>
      </w:r>
      <w:proofErr w:type="spellStart"/>
      <w:r w:rsidRPr="00152A64">
        <w:rPr>
          <w:rFonts w:ascii="Arial" w:eastAsia="Times New Roman" w:hAnsi="Arial" w:cs="Arial"/>
          <w:color w:val="505050"/>
          <w:kern w:val="36"/>
          <w:sz w:val="35"/>
          <w:szCs w:val="35"/>
          <w:lang w:eastAsia="tr-TR"/>
        </w:rPr>
        <w:t>endometrioma</w:t>
      </w:r>
      <w:proofErr w:type="spellEnd"/>
      <w:r w:rsidRPr="00152A64">
        <w:rPr>
          <w:rFonts w:ascii="Arial" w:eastAsia="Times New Roman" w:hAnsi="Arial" w:cs="Arial"/>
          <w:color w:val="505050"/>
          <w:kern w:val="36"/>
          <w:sz w:val="35"/>
          <w:szCs w:val="35"/>
          <w:lang w:eastAsia="tr-TR"/>
        </w:rPr>
        <w:t xml:space="preserve"> </w:t>
      </w:r>
      <w:proofErr w:type="spellStart"/>
      <w:r w:rsidRPr="00152A64">
        <w:rPr>
          <w:rFonts w:ascii="Arial" w:eastAsia="Times New Roman" w:hAnsi="Arial" w:cs="Arial"/>
          <w:color w:val="505050"/>
          <w:kern w:val="36"/>
          <w:sz w:val="35"/>
          <w:szCs w:val="35"/>
          <w:lang w:eastAsia="tr-TR"/>
        </w:rPr>
        <w:t>resection</w:t>
      </w:r>
      <w:proofErr w:type="spellEnd"/>
      <w:r w:rsidRPr="00152A64">
        <w:rPr>
          <w:rFonts w:ascii="Arial" w:eastAsia="Times New Roman" w:hAnsi="Arial" w:cs="Arial"/>
          <w:color w:val="505050"/>
          <w:kern w:val="36"/>
          <w:sz w:val="35"/>
          <w:szCs w:val="35"/>
          <w:lang w:eastAsia="tr-TR"/>
        </w:rPr>
        <w:t xml:space="preserve"> </w:t>
      </w:r>
      <w:proofErr w:type="spellStart"/>
      <w:r w:rsidRPr="00152A64">
        <w:rPr>
          <w:rFonts w:ascii="Arial" w:eastAsia="Times New Roman" w:hAnsi="Arial" w:cs="Arial"/>
          <w:color w:val="505050"/>
          <w:kern w:val="36"/>
          <w:sz w:val="35"/>
          <w:szCs w:val="35"/>
          <w:lang w:eastAsia="tr-TR"/>
        </w:rPr>
        <w:t>increases</w:t>
      </w:r>
      <w:proofErr w:type="spellEnd"/>
      <w:r w:rsidRPr="00152A64">
        <w:rPr>
          <w:rFonts w:ascii="Arial" w:eastAsia="Times New Roman" w:hAnsi="Arial" w:cs="Arial"/>
          <w:color w:val="505050"/>
          <w:kern w:val="36"/>
          <w:sz w:val="35"/>
          <w:szCs w:val="35"/>
          <w:lang w:eastAsia="tr-TR"/>
        </w:rPr>
        <w:t xml:space="preserve"> peri-</w:t>
      </w:r>
      <w:proofErr w:type="spellStart"/>
      <w:r w:rsidRPr="00152A64">
        <w:rPr>
          <w:rFonts w:ascii="Arial" w:eastAsia="Times New Roman" w:hAnsi="Arial" w:cs="Arial"/>
          <w:color w:val="505050"/>
          <w:kern w:val="36"/>
          <w:sz w:val="35"/>
          <w:szCs w:val="35"/>
          <w:lang w:eastAsia="tr-TR"/>
        </w:rPr>
        <w:t>implantation</w:t>
      </w:r>
      <w:proofErr w:type="spellEnd"/>
      <w:r w:rsidRPr="00152A64">
        <w:rPr>
          <w:rFonts w:ascii="Arial" w:eastAsia="Times New Roman" w:hAnsi="Arial" w:cs="Arial"/>
          <w:color w:val="505050"/>
          <w:kern w:val="36"/>
          <w:sz w:val="35"/>
          <w:szCs w:val="35"/>
          <w:lang w:eastAsia="tr-TR"/>
        </w:rPr>
        <w:t xml:space="preserve"> </w:t>
      </w:r>
      <w:proofErr w:type="spellStart"/>
      <w:r w:rsidRPr="00152A64">
        <w:rPr>
          <w:rFonts w:ascii="Arial" w:eastAsia="Times New Roman" w:hAnsi="Arial" w:cs="Arial"/>
          <w:color w:val="505050"/>
          <w:kern w:val="36"/>
          <w:sz w:val="35"/>
          <w:szCs w:val="35"/>
          <w:lang w:eastAsia="tr-TR"/>
        </w:rPr>
        <w:t>endometrial</w:t>
      </w:r>
      <w:proofErr w:type="spellEnd"/>
      <w:r w:rsidRPr="00152A64">
        <w:rPr>
          <w:rFonts w:ascii="Arial" w:eastAsia="Times New Roman" w:hAnsi="Arial" w:cs="Arial"/>
          <w:color w:val="505050"/>
          <w:kern w:val="36"/>
          <w:sz w:val="35"/>
          <w:szCs w:val="35"/>
          <w:lang w:eastAsia="tr-TR"/>
        </w:rPr>
        <w:t xml:space="preserve"> HOXA-10 </w:t>
      </w:r>
      <w:proofErr w:type="spellStart"/>
      <w:r w:rsidRPr="00152A64">
        <w:rPr>
          <w:rFonts w:ascii="Arial" w:eastAsia="Times New Roman" w:hAnsi="Arial" w:cs="Arial"/>
          <w:color w:val="505050"/>
          <w:kern w:val="36"/>
          <w:sz w:val="35"/>
          <w:szCs w:val="35"/>
          <w:lang w:eastAsia="tr-TR"/>
        </w:rPr>
        <w:t>and</w:t>
      </w:r>
      <w:proofErr w:type="spellEnd"/>
      <w:r w:rsidRPr="00152A64">
        <w:rPr>
          <w:rFonts w:ascii="Arial" w:eastAsia="Times New Roman" w:hAnsi="Arial" w:cs="Arial"/>
          <w:color w:val="505050"/>
          <w:kern w:val="36"/>
          <w:sz w:val="35"/>
          <w:szCs w:val="35"/>
          <w:lang w:eastAsia="tr-TR"/>
        </w:rPr>
        <w:t xml:space="preserve"> HOXA-11 </w:t>
      </w:r>
      <w:proofErr w:type="spellStart"/>
      <w:r w:rsidRPr="00152A64">
        <w:rPr>
          <w:rFonts w:ascii="Arial" w:eastAsia="Times New Roman" w:hAnsi="Arial" w:cs="Arial"/>
          <w:color w:val="505050"/>
          <w:kern w:val="36"/>
          <w:sz w:val="35"/>
          <w:szCs w:val="35"/>
          <w:lang w:eastAsia="tr-TR"/>
        </w:rPr>
        <w:t>mRNA</w:t>
      </w:r>
      <w:proofErr w:type="spellEnd"/>
      <w:r w:rsidRPr="00152A64">
        <w:rPr>
          <w:rFonts w:ascii="Arial" w:eastAsia="Times New Roman" w:hAnsi="Arial" w:cs="Arial"/>
          <w:color w:val="505050"/>
          <w:kern w:val="36"/>
          <w:sz w:val="35"/>
          <w:szCs w:val="35"/>
          <w:lang w:eastAsia="tr-TR"/>
        </w:rPr>
        <w:t xml:space="preserve"> </w:t>
      </w:r>
      <w:proofErr w:type="spellStart"/>
      <w:r w:rsidRPr="00152A64">
        <w:rPr>
          <w:rFonts w:ascii="Arial" w:eastAsia="Times New Roman" w:hAnsi="Arial" w:cs="Arial"/>
          <w:color w:val="505050"/>
          <w:kern w:val="36"/>
          <w:sz w:val="35"/>
          <w:szCs w:val="35"/>
          <w:lang w:eastAsia="tr-TR"/>
        </w:rPr>
        <w:t>expression</w:t>
      </w:r>
      <w:proofErr w:type="spellEnd"/>
    </w:p>
    <w:p w:rsidR="00152A64" w:rsidRPr="00152A64" w:rsidRDefault="00152A64" w:rsidP="00152A64">
      <w:pPr>
        <w:spacing w:after="0" w:line="330" w:lineRule="atLeast"/>
        <w:jc w:val="right"/>
        <w:textAlignment w:val="top"/>
        <w:rPr>
          <w:rFonts w:ascii="Arial" w:eastAsia="Times New Roman" w:hAnsi="Arial" w:cs="Arial"/>
          <w:color w:val="737373"/>
          <w:sz w:val="20"/>
          <w:szCs w:val="20"/>
          <w:lang w:eastAsia="tr-TR"/>
        </w:rPr>
      </w:pPr>
      <w:proofErr w:type="gramStart"/>
      <w:r w:rsidRPr="00152A64">
        <w:rPr>
          <w:rFonts w:ascii="Arial" w:eastAsia="Times New Roman" w:hAnsi="Arial" w:cs="Arial"/>
          <w:color w:val="737373"/>
          <w:sz w:val="20"/>
          <w:szCs w:val="20"/>
          <w:vertAlign w:val="superscript"/>
          <w:lang w:eastAsia="tr-TR"/>
        </w:rPr>
        <w:t>a</w:t>
      </w:r>
      <w:proofErr w:type="gramEnd"/>
    </w:p>
    <w:p w:rsidR="00152A64" w:rsidRPr="00152A64" w:rsidRDefault="00152A64" w:rsidP="00152A64">
      <w:pPr>
        <w:spacing w:after="0" w:line="375" w:lineRule="atLeast"/>
        <w:rPr>
          <w:rFonts w:ascii="Arial" w:eastAsia="Times New Roman" w:hAnsi="Arial" w:cs="Arial"/>
          <w:color w:val="505050"/>
          <w:sz w:val="20"/>
          <w:szCs w:val="20"/>
          <w:lang w:eastAsia="tr-TR"/>
        </w:rPr>
      </w:pPr>
      <w:hyperlink r:id="rId4" w:tgtFrame="_blank" w:tooltip="Persistent link using digital object identifier" w:history="1">
        <w:r w:rsidRPr="00152A64">
          <w:rPr>
            <w:rFonts w:ascii="Arial" w:eastAsia="Times New Roman" w:hAnsi="Arial" w:cs="Arial"/>
            <w:color w:val="007398"/>
            <w:sz w:val="20"/>
            <w:lang w:eastAsia="tr-TR"/>
          </w:rPr>
          <w:t>https://doi.org/10.1016/j.fertnstert.2015.04.041</w:t>
        </w:r>
      </w:hyperlink>
      <w:hyperlink r:id="rId5" w:tgtFrame="_blank" w:history="1">
        <w:r w:rsidRPr="00152A64">
          <w:rPr>
            <w:rFonts w:ascii="Arial" w:eastAsia="Times New Roman" w:hAnsi="Arial" w:cs="Arial"/>
            <w:color w:val="007398"/>
            <w:sz w:val="20"/>
            <w:lang w:eastAsia="tr-TR"/>
          </w:rPr>
          <w:t xml:space="preserve">Get </w:t>
        </w:r>
        <w:proofErr w:type="spellStart"/>
        <w:r w:rsidRPr="00152A64">
          <w:rPr>
            <w:rFonts w:ascii="Arial" w:eastAsia="Times New Roman" w:hAnsi="Arial" w:cs="Arial"/>
            <w:color w:val="007398"/>
            <w:sz w:val="20"/>
            <w:lang w:eastAsia="tr-TR"/>
          </w:rPr>
          <w:t>rights</w:t>
        </w:r>
        <w:proofErr w:type="spellEnd"/>
        <w:r w:rsidRPr="00152A64">
          <w:rPr>
            <w:rFonts w:ascii="Arial" w:eastAsia="Times New Roman" w:hAnsi="Arial" w:cs="Arial"/>
            <w:color w:val="007398"/>
            <w:sz w:val="20"/>
            <w:lang w:eastAsia="tr-TR"/>
          </w:rPr>
          <w:t xml:space="preserve"> </w:t>
        </w:r>
        <w:proofErr w:type="spellStart"/>
        <w:r w:rsidRPr="00152A64">
          <w:rPr>
            <w:rFonts w:ascii="Arial" w:eastAsia="Times New Roman" w:hAnsi="Arial" w:cs="Arial"/>
            <w:color w:val="007398"/>
            <w:sz w:val="20"/>
            <w:lang w:eastAsia="tr-TR"/>
          </w:rPr>
          <w:t>and</w:t>
        </w:r>
        <w:proofErr w:type="spellEnd"/>
        <w:r w:rsidRPr="00152A64">
          <w:rPr>
            <w:rFonts w:ascii="Arial" w:eastAsia="Times New Roman" w:hAnsi="Arial" w:cs="Arial"/>
            <w:color w:val="007398"/>
            <w:sz w:val="20"/>
            <w:lang w:eastAsia="tr-TR"/>
          </w:rPr>
          <w:t xml:space="preserve"> </w:t>
        </w:r>
        <w:proofErr w:type="spellStart"/>
        <w:r w:rsidRPr="00152A64">
          <w:rPr>
            <w:rFonts w:ascii="Arial" w:eastAsia="Times New Roman" w:hAnsi="Arial" w:cs="Arial"/>
            <w:color w:val="007398"/>
            <w:sz w:val="20"/>
            <w:lang w:eastAsia="tr-TR"/>
          </w:rPr>
          <w:t>content</w:t>
        </w:r>
        <w:proofErr w:type="spellEnd"/>
      </w:hyperlink>
    </w:p>
    <w:p w:rsidR="00152A64" w:rsidRPr="00152A64" w:rsidRDefault="00152A64" w:rsidP="00152A64">
      <w:pPr>
        <w:spacing w:before="180" w:after="120" w:line="300" w:lineRule="atLeast"/>
        <w:outlineLvl w:val="2"/>
        <w:rPr>
          <w:rFonts w:ascii="Arial" w:eastAsia="Times New Roman" w:hAnsi="Arial" w:cs="Arial"/>
          <w:color w:val="505050"/>
          <w:sz w:val="24"/>
          <w:szCs w:val="24"/>
          <w:lang w:eastAsia="tr-TR"/>
        </w:rPr>
      </w:pPr>
      <w:r w:rsidRPr="00152A64">
        <w:rPr>
          <w:rFonts w:ascii="Arial" w:eastAsia="Times New Roman" w:hAnsi="Arial" w:cs="Arial"/>
          <w:color w:val="505050"/>
          <w:sz w:val="24"/>
          <w:szCs w:val="24"/>
          <w:lang w:eastAsia="tr-TR"/>
        </w:rPr>
        <w:t>Objective</w:t>
      </w:r>
    </w:p>
    <w:p w:rsidR="00152A64" w:rsidRPr="00152A64" w:rsidRDefault="00152A64" w:rsidP="00152A64">
      <w:pPr>
        <w:spacing w:after="240" w:line="360" w:lineRule="atLeast"/>
        <w:rPr>
          <w:rFonts w:ascii="Arial" w:eastAsia="Times New Roman" w:hAnsi="Arial" w:cs="Arial"/>
          <w:color w:val="505050"/>
          <w:sz w:val="27"/>
          <w:szCs w:val="27"/>
          <w:lang w:eastAsia="tr-TR"/>
        </w:rPr>
      </w:pPr>
      <w:r w:rsidRPr="00152A64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To determine whether laparoscopic </w:t>
      </w:r>
      <w:proofErr w:type="spellStart"/>
      <w:r w:rsidRPr="00152A64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endometrioma</w:t>
      </w:r>
      <w:proofErr w:type="spellEnd"/>
      <w:r w:rsidRPr="00152A64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resection alters </w:t>
      </w:r>
      <w:proofErr w:type="spellStart"/>
      <w:r w:rsidRPr="00152A64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peri</w:t>
      </w:r>
      <w:proofErr w:type="spellEnd"/>
      <w:r w:rsidRPr="00152A64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-implantation endometrial HOXA-10, HOXA-11, LIF, ITGB3 and ITGAV mRNA expression.</w:t>
      </w:r>
    </w:p>
    <w:p w:rsidR="00152A64" w:rsidRPr="00152A64" w:rsidRDefault="00152A64" w:rsidP="00152A64">
      <w:pPr>
        <w:spacing w:before="180" w:after="120" w:line="300" w:lineRule="atLeast"/>
        <w:outlineLvl w:val="2"/>
        <w:rPr>
          <w:rFonts w:ascii="Arial" w:eastAsia="Times New Roman" w:hAnsi="Arial" w:cs="Arial"/>
          <w:color w:val="505050"/>
          <w:sz w:val="24"/>
          <w:szCs w:val="24"/>
          <w:lang w:eastAsia="tr-TR"/>
        </w:rPr>
      </w:pPr>
      <w:r w:rsidRPr="00152A64">
        <w:rPr>
          <w:rFonts w:ascii="Arial" w:eastAsia="Times New Roman" w:hAnsi="Arial" w:cs="Arial"/>
          <w:color w:val="505050"/>
          <w:sz w:val="24"/>
          <w:szCs w:val="24"/>
          <w:lang w:eastAsia="tr-TR"/>
        </w:rPr>
        <w:t>Design</w:t>
      </w:r>
    </w:p>
    <w:p w:rsidR="00152A64" w:rsidRPr="00152A64" w:rsidRDefault="00152A64" w:rsidP="00152A64">
      <w:pPr>
        <w:spacing w:after="240" w:line="360" w:lineRule="atLeast"/>
        <w:rPr>
          <w:rFonts w:ascii="Arial" w:eastAsia="Times New Roman" w:hAnsi="Arial" w:cs="Arial"/>
          <w:color w:val="505050"/>
          <w:sz w:val="27"/>
          <w:szCs w:val="27"/>
          <w:lang w:eastAsia="tr-TR"/>
        </w:rPr>
      </w:pPr>
      <w:proofErr w:type="gramStart"/>
      <w:r w:rsidRPr="00152A64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Case-control study.</w:t>
      </w:r>
      <w:proofErr w:type="gramEnd"/>
    </w:p>
    <w:p w:rsidR="00152A64" w:rsidRPr="00152A64" w:rsidRDefault="00152A64" w:rsidP="00152A64">
      <w:pPr>
        <w:spacing w:before="180" w:after="120" w:line="300" w:lineRule="atLeast"/>
        <w:outlineLvl w:val="2"/>
        <w:rPr>
          <w:rFonts w:ascii="Arial" w:eastAsia="Times New Roman" w:hAnsi="Arial" w:cs="Arial"/>
          <w:color w:val="505050"/>
          <w:sz w:val="24"/>
          <w:szCs w:val="24"/>
          <w:lang w:eastAsia="tr-TR"/>
        </w:rPr>
      </w:pPr>
      <w:r w:rsidRPr="00152A64">
        <w:rPr>
          <w:rFonts w:ascii="Arial" w:eastAsia="Times New Roman" w:hAnsi="Arial" w:cs="Arial"/>
          <w:color w:val="505050"/>
          <w:sz w:val="24"/>
          <w:szCs w:val="24"/>
          <w:lang w:eastAsia="tr-TR"/>
        </w:rPr>
        <w:t>Setting</w:t>
      </w:r>
    </w:p>
    <w:p w:rsidR="00152A64" w:rsidRPr="00152A64" w:rsidRDefault="00152A64" w:rsidP="00152A64">
      <w:pPr>
        <w:spacing w:after="240" w:line="360" w:lineRule="atLeast"/>
        <w:rPr>
          <w:rFonts w:ascii="Arial" w:eastAsia="Times New Roman" w:hAnsi="Arial" w:cs="Arial"/>
          <w:color w:val="505050"/>
          <w:sz w:val="27"/>
          <w:szCs w:val="27"/>
          <w:lang w:eastAsia="tr-TR"/>
        </w:rPr>
      </w:pPr>
      <w:proofErr w:type="gramStart"/>
      <w:r w:rsidRPr="00152A64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Medical school.</w:t>
      </w:r>
      <w:proofErr w:type="gramEnd"/>
    </w:p>
    <w:p w:rsidR="00152A64" w:rsidRPr="00152A64" w:rsidRDefault="00152A64" w:rsidP="00152A64">
      <w:pPr>
        <w:spacing w:before="180" w:after="120" w:line="300" w:lineRule="atLeast"/>
        <w:outlineLvl w:val="2"/>
        <w:rPr>
          <w:rFonts w:ascii="Arial" w:eastAsia="Times New Roman" w:hAnsi="Arial" w:cs="Arial"/>
          <w:color w:val="505050"/>
          <w:sz w:val="24"/>
          <w:szCs w:val="24"/>
          <w:lang w:eastAsia="tr-TR"/>
        </w:rPr>
      </w:pPr>
      <w:r w:rsidRPr="00152A64">
        <w:rPr>
          <w:rFonts w:ascii="Arial" w:eastAsia="Times New Roman" w:hAnsi="Arial" w:cs="Arial"/>
          <w:color w:val="505050"/>
          <w:sz w:val="24"/>
          <w:szCs w:val="24"/>
          <w:lang w:eastAsia="tr-TR"/>
        </w:rPr>
        <w:t>Patient(s)</w:t>
      </w:r>
    </w:p>
    <w:p w:rsidR="00152A64" w:rsidRPr="00152A64" w:rsidRDefault="00152A64" w:rsidP="00152A64">
      <w:pPr>
        <w:spacing w:after="240" w:line="360" w:lineRule="atLeast"/>
        <w:rPr>
          <w:rFonts w:ascii="Arial" w:eastAsia="Times New Roman" w:hAnsi="Arial" w:cs="Arial"/>
          <w:color w:val="505050"/>
          <w:sz w:val="27"/>
          <w:szCs w:val="27"/>
          <w:lang w:eastAsia="tr-TR"/>
        </w:rPr>
      </w:pPr>
      <w:proofErr w:type="gramStart"/>
      <w:r w:rsidRPr="00152A64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Twenty infertile patients with </w:t>
      </w:r>
      <w:proofErr w:type="spellStart"/>
      <w:r w:rsidRPr="00152A64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uni</w:t>
      </w:r>
      <w:proofErr w:type="spellEnd"/>
      <w:r w:rsidRPr="00152A64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- or bilateral </w:t>
      </w:r>
      <w:proofErr w:type="spellStart"/>
      <w:r w:rsidRPr="00152A64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endometrioma</w:t>
      </w:r>
      <w:proofErr w:type="spellEnd"/>
      <w:r w:rsidRPr="00152A64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, five infertile patients having </w:t>
      </w:r>
      <w:proofErr w:type="spellStart"/>
      <w:r w:rsidRPr="00152A64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nonendometriotic</w:t>
      </w:r>
      <w:proofErr w:type="spellEnd"/>
      <w:r w:rsidRPr="00152A64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benign ovarian cyst, and five fertile control subjects.</w:t>
      </w:r>
      <w:proofErr w:type="gramEnd"/>
    </w:p>
    <w:p w:rsidR="00152A64" w:rsidRPr="00152A64" w:rsidRDefault="00152A64" w:rsidP="00152A64">
      <w:pPr>
        <w:spacing w:before="180" w:after="120" w:line="300" w:lineRule="atLeast"/>
        <w:outlineLvl w:val="2"/>
        <w:rPr>
          <w:rFonts w:ascii="Arial" w:eastAsia="Times New Roman" w:hAnsi="Arial" w:cs="Arial"/>
          <w:color w:val="505050"/>
          <w:sz w:val="24"/>
          <w:szCs w:val="24"/>
          <w:lang w:eastAsia="tr-TR"/>
        </w:rPr>
      </w:pPr>
      <w:r w:rsidRPr="00152A64">
        <w:rPr>
          <w:rFonts w:ascii="Arial" w:eastAsia="Times New Roman" w:hAnsi="Arial" w:cs="Arial"/>
          <w:color w:val="505050"/>
          <w:sz w:val="24"/>
          <w:szCs w:val="24"/>
          <w:lang w:eastAsia="tr-TR"/>
        </w:rPr>
        <w:t>Intervention(s)</w:t>
      </w:r>
    </w:p>
    <w:p w:rsidR="00152A64" w:rsidRPr="00152A64" w:rsidRDefault="00152A64" w:rsidP="00152A64">
      <w:pPr>
        <w:spacing w:after="240" w:line="360" w:lineRule="atLeast"/>
        <w:rPr>
          <w:rFonts w:ascii="Arial" w:eastAsia="Times New Roman" w:hAnsi="Arial" w:cs="Arial"/>
          <w:color w:val="505050"/>
          <w:sz w:val="27"/>
          <w:szCs w:val="27"/>
          <w:lang w:eastAsia="tr-TR"/>
        </w:rPr>
      </w:pPr>
      <w:r w:rsidRPr="00152A64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Mid–</w:t>
      </w:r>
      <w:proofErr w:type="spellStart"/>
      <w:r w:rsidRPr="00152A64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luteal</w:t>
      </w:r>
      <w:proofErr w:type="spellEnd"/>
      <w:r w:rsidRPr="00152A64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-phase endometrial sampling was performed at the time of surgery. Second endometrial biopsies were obtained 3 months after laparoscopic </w:t>
      </w:r>
      <w:proofErr w:type="spellStart"/>
      <w:r w:rsidRPr="00152A64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endometrioma</w:t>
      </w:r>
      <w:proofErr w:type="spellEnd"/>
      <w:r w:rsidRPr="00152A64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resection during the mid-</w:t>
      </w:r>
      <w:proofErr w:type="spellStart"/>
      <w:r w:rsidRPr="00152A64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luteal</w:t>
      </w:r>
      <w:proofErr w:type="spellEnd"/>
      <w:r w:rsidRPr="00152A64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phase of the cycle.</w:t>
      </w:r>
    </w:p>
    <w:p w:rsidR="00152A64" w:rsidRPr="00152A64" w:rsidRDefault="00152A64" w:rsidP="00152A64">
      <w:pPr>
        <w:spacing w:before="180" w:after="120" w:line="300" w:lineRule="atLeast"/>
        <w:outlineLvl w:val="2"/>
        <w:rPr>
          <w:rFonts w:ascii="Arial" w:eastAsia="Times New Roman" w:hAnsi="Arial" w:cs="Arial"/>
          <w:color w:val="505050"/>
          <w:sz w:val="24"/>
          <w:szCs w:val="24"/>
          <w:lang w:eastAsia="tr-TR"/>
        </w:rPr>
      </w:pPr>
      <w:r w:rsidRPr="00152A64">
        <w:rPr>
          <w:rFonts w:ascii="Arial" w:eastAsia="Times New Roman" w:hAnsi="Arial" w:cs="Arial"/>
          <w:color w:val="505050"/>
          <w:sz w:val="24"/>
          <w:szCs w:val="24"/>
          <w:lang w:eastAsia="tr-TR"/>
        </w:rPr>
        <w:t>Main Outcome Measure(s)</w:t>
      </w:r>
    </w:p>
    <w:p w:rsidR="00152A64" w:rsidRPr="00152A64" w:rsidRDefault="00152A64" w:rsidP="00152A64">
      <w:pPr>
        <w:spacing w:after="240" w:line="360" w:lineRule="atLeast"/>
        <w:rPr>
          <w:rFonts w:ascii="Arial" w:eastAsia="Times New Roman" w:hAnsi="Arial" w:cs="Arial"/>
          <w:color w:val="505050"/>
          <w:sz w:val="27"/>
          <w:szCs w:val="27"/>
          <w:lang w:eastAsia="tr-TR"/>
        </w:rPr>
      </w:pPr>
      <w:r w:rsidRPr="00152A64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Endometrial HOXA-10, HOXA-11, LIF, ITGAV, and ITGB3 mRNA expressions were evaluated with the use of reverse-transcription polymerase chain reaction.</w:t>
      </w:r>
    </w:p>
    <w:p w:rsidR="00152A64" w:rsidRPr="00152A64" w:rsidRDefault="00152A64" w:rsidP="00152A64">
      <w:pPr>
        <w:spacing w:before="180" w:after="120" w:line="300" w:lineRule="atLeast"/>
        <w:outlineLvl w:val="2"/>
        <w:rPr>
          <w:rFonts w:ascii="Arial" w:eastAsia="Times New Roman" w:hAnsi="Arial" w:cs="Arial"/>
          <w:color w:val="505050"/>
          <w:sz w:val="24"/>
          <w:szCs w:val="24"/>
          <w:lang w:eastAsia="tr-TR"/>
        </w:rPr>
      </w:pPr>
      <w:r w:rsidRPr="00152A64">
        <w:rPr>
          <w:rFonts w:ascii="Arial" w:eastAsia="Times New Roman" w:hAnsi="Arial" w:cs="Arial"/>
          <w:color w:val="505050"/>
          <w:sz w:val="24"/>
          <w:szCs w:val="24"/>
          <w:lang w:eastAsia="tr-TR"/>
        </w:rPr>
        <w:t>Result(s)</w:t>
      </w:r>
    </w:p>
    <w:p w:rsidR="00152A64" w:rsidRPr="00152A64" w:rsidRDefault="00152A64" w:rsidP="00152A64">
      <w:pPr>
        <w:spacing w:after="240" w:line="360" w:lineRule="atLeast"/>
        <w:rPr>
          <w:rFonts w:ascii="Arial" w:eastAsia="Times New Roman" w:hAnsi="Arial" w:cs="Arial"/>
          <w:color w:val="505050"/>
          <w:sz w:val="27"/>
          <w:szCs w:val="27"/>
          <w:lang w:eastAsia="tr-TR"/>
        </w:rPr>
      </w:pPr>
      <w:r w:rsidRPr="00152A64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Significantly decreased endometrial ITGAV mRNA expression was noted in biopsies obtained from </w:t>
      </w:r>
      <w:proofErr w:type="spellStart"/>
      <w:r w:rsidRPr="00152A64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endometrioma</w:t>
      </w:r>
      <w:proofErr w:type="spellEnd"/>
      <w:r w:rsidRPr="00152A64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and </w:t>
      </w:r>
      <w:proofErr w:type="spellStart"/>
      <w:r w:rsidRPr="00152A64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nonendometriotic</w:t>
      </w:r>
      <w:proofErr w:type="spellEnd"/>
      <w:r w:rsidRPr="00152A64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cyst groups before surgery. Trends toward decreased endometrial HOXA-10, HOXA-11, LIF, and ITGB3 mRNA expressions were noted in the </w:t>
      </w:r>
      <w:proofErr w:type="spellStart"/>
      <w:r w:rsidRPr="00152A64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endometrioma</w:t>
      </w:r>
      <w:proofErr w:type="spellEnd"/>
      <w:r w:rsidRPr="00152A64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and </w:t>
      </w:r>
      <w:proofErr w:type="spellStart"/>
      <w:r w:rsidRPr="00152A64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nonendometriotic</w:t>
      </w:r>
      <w:proofErr w:type="spellEnd"/>
      <w:r w:rsidRPr="00152A64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cyst groups before surgery compared with the fertile </w:t>
      </w:r>
      <w:r w:rsidRPr="00152A64">
        <w:rPr>
          <w:rFonts w:ascii="Arial" w:eastAsia="Times New Roman" w:hAnsi="Arial" w:cs="Arial"/>
          <w:color w:val="505050"/>
          <w:sz w:val="27"/>
          <w:szCs w:val="27"/>
          <w:lang w:eastAsia="tr-TR"/>
        </w:rPr>
        <w:lastRenderedPageBreak/>
        <w:t xml:space="preserve">subjects. However, the differences failed to show statistical significance. Compared with preoperative values, significantly increased HOXA-10 (12.1-fold change) and HOXA-11 (17.2-fold change) mRNA expressions were noted in endometrial biopsies obtained from subjects who were undergoing </w:t>
      </w:r>
      <w:proofErr w:type="spellStart"/>
      <w:r w:rsidRPr="00152A64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endometrioma</w:t>
      </w:r>
      <w:proofErr w:type="spellEnd"/>
      <w:r w:rsidRPr="00152A64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surgery. Fold change in endometrial ITGAV mRNA after </w:t>
      </w:r>
      <w:proofErr w:type="spellStart"/>
      <w:r w:rsidRPr="00152A64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endometrioma</w:t>
      </w:r>
      <w:proofErr w:type="spellEnd"/>
      <w:r w:rsidRPr="00152A64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surgery was found to be 30.1 and indicated a positive regulation. However, this fold increase was statistically insignificant. Expressions of these endometrial receptivity markers did not change significantly after surgical removal of </w:t>
      </w:r>
      <w:proofErr w:type="spellStart"/>
      <w:r w:rsidRPr="00152A64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nonendometriotic</w:t>
      </w:r>
      <w:proofErr w:type="spellEnd"/>
      <w:r w:rsidRPr="00152A64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benign ovarian cysts.</w:t>
      </w:r>
    </w:p>
    <w:p w:rsidR="00152A64" w:rsidRPr="00152A64" w:rsidRDefault="00152A64" w:rsidP="00152A64">
      <w:pPr>
        <w:spacing w:before="180" w:after="120" w:line="300" w:lineRule="atLeast"/>
        <w:outlineLvl w:val="2"/>
        <w:rPr>
          <w:rFonts w:ascii="Arial" w:eastAsia="Times New Roman" w:hAnsi="Arial" w:cs="Arial"/>
          <w:color w:val="505050"/>
          <w:sz w:val="24"/>
          <w:szCs w:val="24"/>
          <w:lang w:eastAsia="tr-TR"/>
        </w:rPr>
      </w:pPr>
      <w:r w:rsidRPr="00152A64">
        <w:rPr>
          <w:rFonts w:ascii="Arial" w:eastAsia="Times New Roman" w:hAnsi="Arial" w:cs="Arial"/>
          <w:color w:val="505050"/>
          <w:sz w:val="24"/>
          <w:szCs w:val="24"/>
          <w:lang w:eastAsia="tr-TR"/>
        </w:rPr>
        <w:t>Conclusion(s)</w:t>
      </w:r>
    </w:p>
    <w:p w:rsidR="00152A64" w:rsidRPr="00152A64" w:rsidRDefault="00152A64" w:rsidP="00152A64">
      <w:pPr>
        <w:spacing w:after="240" w:line="360" w:lineRule="atLeast"/>
        <w:rPr>
          <w:rFonts w:ascii="Arial" w:eastAsia="Times New Roman" w:hAnsi="Arial" w:cs="Arial"/>
          <w:color w:val="505050"/>
          <w:sz w:val="27"/>
          <w:szCs w:val="27"/>
          <w:lang w:eastAsia="tr-TR"/>
        </w:rPr>
      </w:pPr>
      <w:r w:rsidRPr="00152A64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Laparoscopic </w:t>
      </w:r>
      <w:proofErr w:type="spellStart"/>
      <w:r w:rsidRPr="00152A64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endometrioma</w:t>
      </w:r>
      <w:proofErr w:type="spellEnd"/>
      <w:r w:rsidRPr="00152A64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resection increases </w:t>
      </w:r>
      <w:proofErr w:type="spellStart"/>
      <w:r w:rsidRPr="00152A64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peri</w:t>
      </w:r>
      <w:proofErr w:type="spellEnd"/>
      <w:r w:rsidRPr="00152A64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-implantation endometrial HOXA-10 and HOXA-11 mRNA expression, suggesting an improvement in endometrial receptivity.</w:t>
      </w:r>
    </w:p>
    <w:p w:rsidR="00152A64" w:rsidRPr="00152A64" w:rsidRDefault="00152A64" w:rsidP="00152A64">
      <w:pPr>
        <w:spacing w:before="240" w:after="60" w:line="420" w:lineRule="atLeast"/>
        <w:outlineLvl w:val="1"/>
        <w:rPr>
          <w:rFonts w:ascii="Arial" w:eastAsia="Times New Roman" w:hAnsi="Arial" w:cs="Arial"/>
          <w:color w:val="505050"/>
          <w:sz w:val="27"/>
          <w:szCs w:val="27"/>
          <w:lang w:eastAsia="tr-TR"/>
        </w:rPr>
      </w:pPr>
      <w:proofErr w:type="spellStart"/>
      <w:r w:rsidRPr="00152A64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Key</w:t>
      </w:r>
      <w:proofErr w:type="spellEnd"/>
      <w:r w:rsidRPr="00152A64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</w:t>
      </w:r>
      <w:proofErr w:type="spellStart"/>
      <w:r w:rsidRPr="00152A64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Words</w:t>
      </w:r>
      <w:proofErr w:type="spellEnd"/>
    </w:p>
    <w:p w:rsidR="00152A64" w:rsidRPr="00152A64" w:rsidRDefault="00152A64" w:rsidP="00152A64">
      <w:pPr>
        <w:spacing w:after="0" w:line="360" w:lineRule="atLeast"/>
        <w:rPr>
          <w:rFonts w:ascii="Arial" w:eastAsia="Times New Roman" w:hAnsi="Arial" w:cs="Arial"/>
          <w:color w:val="505050"/>
          <w:sz w:val="24"/>
          <w:szCs w:val="24"/>
          <w:lang w:eastAsia="tr-TR"/>
        </w:rPr>
      </w:pPr>
      <w:proofErr w:type="spellStart"/>
      <w:r w:rsidRPr="00152A64">
        <w:rPr>
          <w:rFonts w:ascii="Arial" w:eastAsia="Times New Roman" w:hAnsi="Arial" w:cs="Arial"/>
          <w:color w:val="505050"/>
          <w:sz w:val="24"/>
          <w:szCs w:val="24"/>
          <w:lang w:eastAsia="tr-TR"/>
        </w:rPr>
        <w:t>Endometrioma</w:t>
      </w:r>
      <w:proofErr w:type="spellEnd"/>
    </w:p>
    <w:p w:rsidR="00152A64" w:rsidRPr="00152A64" w:rsidRDefault="00152A64" w:rsidP="00152A64">
      <w:pPr>
        <w:spacing w:after="0" w:line="360" w:lineRule="atLeast"/>
        <w:rPr>
          <w:rFonts w:ascii="Arial" w:eastAsia="Times New Roman" w:hAnsi="Arial" w:cs="Arial"/>
          <w:color w:val="505050"/>
          <w:sz w:val="24"/>
          <w:szCs w:val="24"/>
          <w:lang w:eastAsia="tr-TR"/>
        </w:rPr>
      </w:pPr>
      <w:proofErr w:type="spellStart"/>
      <w:r w:rsidRPr="00152A64">
        <w:rPr>
          <w:rFonts w:ascii="Arial" w:eastAsia="Times New Roman" w:hAnsi="Arial" w:cs="Arial"/>
          <w:color w:val="505050"/>
          <w:sz w:val="24"/>
          <w:szCs w:val="24"/>
          <w:lang w:eastAsia="tr-TR"/>
        </w:rPr>
        <w:t>eutopic</w:t>
      </w:r>
      <w:proofErr w:type="spellEnd"/>
      <w:r w:rsidRPr="00152A64">
        <w:rPr>
          <w:rFonts w:ascii="Arial" w:eastAsia="Times New Roman" w:hAnsi="Arial" w:cs="Arial"/>
          <w:color w:val="505050"/>
          <w:sz w:val="24"/>
          <w:szCs w:val="24"/>
          <w:lang w:eastAsia="tr-TR"/>
        </w:rPr>
        <w:t xml:space="preserve"> </w:t>
      </w:r>
      <w:proofErr w:type="spellStart"/>
      <w:r w:rsidRPr="00152A64">
        <w:rPr>
          <w:rFonts w:ascii="Arial" w:eastAsia="Times New Roman" w:hAnsi="Arial" w:cs="Arial"/>
          <w:color w:val="505050"/>
          <w:sz w:val="24"/>
          <w:szCs w:val="24"/>
          <w:lang w:eastAsia="tr-TR"/>
        </w:rPr>
        <w:t>endometrium</w:t>
      </w:r>
      <w:proofErr w:type="spellEnd"/>
    </w:p>
    <w:p w:rsidR="00152A64" w:rsidRPr="00152A64" w:rsidRDefault="00152A64" w:rsidP="00152A64">
      <w:pPr>
        <w:spacing w:after="0" w:line="360" w:lineRule="atLeast"/>
        <w:rPr>
          <w:rFonts w:ascii="Arial" w:eastAsia="Times New Roman" w:hAnsi="Arial" w:cs="Arial"/>
          <w:color w:val="505050"/>
          <w:sz w:val="24"/>
          <w:szCs w:val="24"/>
          <w:lang w:eastAsia="tr-TR"/>
        </w:rPr>
      </w:pPr>
      <w:proofErr w:type="spellStart"/>
      <w:r w:rsidRPr="00152A64">
        <w:rPr>
          <w:rFonts w:ascii="Arial" w:eastAsia="Times New Roman" w:hAnsi="Arial" w:cs="Arial"/>
          <w:color w:val="505050"/>
          <w:sz w:val="24"/>
          <w:szCs w:val="24"/>
          <w:lang w:eastAsia="tr-TR"/>
        </w:rPr>
        <w:t>laparoscopy</w:t>
      </w:r>
      <w:proofErr w:type="spellEnd"/>
    </w:p>
    <w:p w:rsidR="00152A64" w:rsidRPr="00152A64" w:rsidRDefault="00152A64" w:rsidP="00152A64">
      <w:pPr>
        <w:spacing w:line="360" w:lineRule="atLeast"/>
        <w:rPr>
          <w:rFonts w:ascii="Arial" w:eastAsia="Times New Roman" w:hAnsi="Arial" w:cs="Arial"/>
          <w:color w:val="505050"/>
          <w:sz w:val="24"/>
          <w:szCs w:val="24"/>
          <w:lang w:eastAsia="tr-TR"/>
        </w:rPr>
      </w:pPr>
      <w:proofErr w:type="spellStart"/>
      <w:r w:rsidRPr="00152A64">
        <w:rPr>
          <w:rFonts w:ascii="Arial" w:eastAsia="Times New Roman" w:hAnsi="Arial" w:cs="Arial"/>
          <w:color w:val="505050"/>
          <w:sz w:val="24"/>
          <w:szCs w:val="24"/>
          <w:lang w:eastAsia="tr-TR"/>
        </w:rPr>
        <w:t>homeobox</w:t>
      </w:r>
      <w:proofErr w:type="spellEnd"/>
      <w:r w:rsidRPr="00152A64">
        <w:rPr>
          <w:rFonts w:ascii="Arial" w:eastAsia="Times New Roman" w:hAnsi="Arial" w:cs="Arial"/>
          <w:color w:val="505050"/>
          <w:sz w:val="24"/>
          <w:szCs w:val="24"/>
          <w:lang w:eastAsia="tr-TR"/>
        </w:rPr>
        <w:t xml:space="preserve"> </w:t>
      </w:r>
      <w:proofErr w:type="spellStart"/>
      <w:r w:rsidRPr="00152A64">
        <w:rPr>
          <w:rFonts w:ascii="Arial" w:eastAsia="Times New Roman" w:hAnsi="Arial" w:cs="Arial"/>
          <w:color w:val="505050"/>
          <w:sz w:val="24"/>
          <w:szCs w:val="24"/>
          <w:lang w:eastAsia="tr-TR"/>
        </w:rPr>
        <w:t>genes</w:t>
      </w:r>
      <w:proofErr w:type="spellEnd"/>
    </w:p>
    <w:p w:rsidR="005909DA" w:rsidRDefault="005909DA"/>
    <w:sectPr w:rsidR="005909DA" w:rsidSect="005909D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A2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A2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A2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52A64"/>
    <w:rsid w:val="00152A64"/>
    <w:rsid w:val="005909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909DA"/>
  </w:style>
  <w:style w:type="paragraph" w:styleId="Balk1">
    <w:name w:val="heading 1"/>
    <w:basedOn w:val="Normal"/>
    <w:link w:val="Balk1Char"/>
    <w:uiPriority w:val="9"/>
    <w:qFormat/>
    <w:rsid w:val="00152A64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paragraph" w:styleId="Balk2">
    <w:name w:val="heading 2"/>
    <w:basedOn w:val="Normal"/>
    <w:link w:val="Balk2Char"/>
    <w:uiPriority w:val="9"/>
    <w:qFormat/>
    <w:rsid w:val="00152A64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tr-TR"/>
    </w:rPr>
  </w:style>
  <w:style w:type="paragraph" w:styleId="Balk3">
    <w:name w:val="heading 3"/>
    <w:basedOn w:val="Normal"/>
    <w:link w:val="Balk3Char"/>
    <w:uiPriority w:val="9"/>
    <w:qFormat/>
    <w:rsid w:val="00152A6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152A64"/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character" w:customStyle="1" w:styleId="Balk2Char">
    <w:name w:val="Başlık 2 Char"/>
    <w:basedOn w:val="VarsaylanParagrafYazTipi"/>
    <w:link w:val="Balk2"/>
    <w:uiPriority w:val="9"/>
    <w:rsid w:val="00152A64"/>
    <w:rPr>
      <w:rFonts w:ascii="Times New Roman" w:eastAsia="Times New Roman" w:hAnsi="Times New Roman" w:cs="Times New Roman"/>
      <w:b/>
      <w:bCs/>
      <w:sz w:val="36"/>
      <w:szCs w:val="36"/>
      <w:lang w:eastAsia="tr-TR"/>
    </w:rPr>
  </w:style>
  <w:style w:type="character" w:customStyle="1" w:styleId="Balk3Char">
    <w:name w:val="Başlık 3 Char"/>
    <w:basedOn w:val="VarsaylanParagrafYazTipi"/>
    <w:link w:val="Balk3"/>
    <w:uiPriority w:val="9"/>
    <w:rsid w:val="00152A64"/>
    <w:rPr>
      <w:rFonts w:ascii="Times New Roman" w:eastAsia="Times New Roman" w:hAnsi="Times New Roman" w:cs="Times New Roman"/>
      <w:b/>
      <w:bCs/>
      <w:sz w:val="27"/>
      <w:szCs w:val="27"/>
      <w:lang w:eastAsia="tr-TR"/>
    </w:rPr>
  </w:style>
  <w:style w:type="character" w:customStyle="1" w:styleId="sr-only">
    <w:name w:val="sr-only"/>
    <w:basedOn w:val="VarsaylanParagrafYazTipi"/>
    <w:rsid w:val="00152A64"/>
  </w:style>
  <w:style w:type="character" w:customStyle="1" w:styleId="text">
    <w:name w:val="text"/>
    <w:basedOn w:val="VarsaylanParagrafYazTipi"/>
    <w:rsid w:val="00152A64"/>
  </w:style>
  <w:style w:type="character" w:customStyle="1" w:styleId="author-ref">
    <w:name w:val="author-ref"/>
    <w:basedOn w:val="VarsaylanParagrafYazTipi"/>
    <w:rsid w:val="00152A64"/>
  </w:style>
  <w:style w:type="character" w:styleId="Kpr">
    <w:name w:val="Hyperlink"/>
    <w:basedOn w:val="VarsaylanParagrafYazTipi"/>
    <w:uiPriority w:val="99"/>
    <w:semiHidden/>
    <w:unhideWhenUsed/>
    <w:rsid w:val="00152A64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152A6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4303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246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810653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6311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58151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2616560">
                      <w:marLeft w:val="0"/>
                      <w:marRight w:val="0"/>
                      <w:marTop w:val="0"/>
                      <w:marBottom w:val="33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89233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2763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0662934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75327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78879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01100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8223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31686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7619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78022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4149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32809194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single" w:sz="12" w:space="24" w:color="EBEBEB"/>
            <w:right w:val="none" w:sz="0" w:space="0" w:color="auto"/>
          </w:divBdr>
          <w:divsChild>
            <w:div w:id="1834293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6175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4817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14828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99255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s100.copyright.com/AppDispatchServlet?publisherName=ELS&amp;contentID=S0015028215003155&amp;orderBeanReset=true" TargetMode="External"/><Relationship Id="rId4" Type="http://schemas.openxmlformats.org/officeDocument/2006/relationships/hyperlink" Target="https://doi.org/10.1016/j.fertnstert.2015.04.041" TargetMode="Externa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372</Words>
  <Characters>2122</Characters>
  <Application>Microsoft Office Word</Application>
  <DocSecurity>0</DocSecurity>
  <Lines>17</Lines>
  <Paragraphs>4</Paragraphs>
  <ScaleCrop>false</ScaleCrop>
  <Company/>
  <LinksUpToDate>false</LinksUpToDate>
  <CharactersWithSpaces>2490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PC1</dc:creator>
  <cp:lastModifiedBy>PC1</cp:lastModifiedBy>
  <cp:revision>1</cp:revision>
  <dcterms:created xsi:type="dcterms:W3CDTF">2017-07-20T10:19:00Z</dcterms:created>
  <dcterms:modified xsi:type="dcterms:W3CDTF">2017-07-20T10:20:00Z</dcterms:modified>
</cp:coreProperties>
</file>