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794F" w:rsidRDefault="00F6794F" w:rsidP="00F6794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Koroner bypass sonrası gelişen bir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alternan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hemipleji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(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Weber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sendromu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>) olgusu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Atilla İLHAN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Nöroloji Anabilim Dalı, Malatya, Türkiye) 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Erdal EGE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Kaya SARAÇ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Sinem KALI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Ayhan BÖLÜK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6794F" w:rsidRDefault="00F6794F" w:rsidP="00F6794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Cemal ÖZCAN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Network Klinik Bilimler ve Doktor</w:t>
        </w:r>
      </w:hyperlink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1300-4743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37 - 38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27 2</w:t>
      </w:r>
    </w:p>
    <w:p w:rsidR="00F6794F" w:rsidRDefault="00F6794F" w:rsidP="00F6794F">
      <w:pPr>
        <w:numPr>
          <w:ilvl w:val="0"/>
          <w:numId w:val="3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F6794F" w:rsidRDefault="00F6794F" w:rsidP="00F6794F">
      <w:pPr>
        <w:numPr>
          <w:ilvl w:val="0"/>
          <w:numId w:val="3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F6794F" w:rsidRDefault="00F6794F" w:rsidP="00F6794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Koroner bypass sonrası gelişen bir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alternan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hemipleji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(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Weber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sendromu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) olgusu</w:t>
      </w:r>
    </w:p>
    <w:p w:rsidR="00F6794F" w:rsidRDefault="00F6794F" w:rsidP="00F6794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Öz:Koroner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arter bypass cerrahisi sonrası gelişen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serebrovasküler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hastalık oldukça ender görülmektedir. Bu yazıda, koroner arter bypass cerrahisi sonrası gelişen ve manyetik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rezonans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görüntülemesinde sol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mezensefalik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iskemi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karakterime olan bir olguyu sunuyoruz. Olgunun nörolojik muayene bulguları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Weber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sendromu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ile uyumluydu.</w:t>
      </w:r>
    </w:p>
    <w:p w:rsidR="00F6794F" w:rsidRDefault="00F6794F" w:rsidP="00F6794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Serebrovasküler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olay Koroner arter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köprüleme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Ameliyat sonrası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komplikasyonlar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Sendrom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Serebrovasküler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bozukluklar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Hemipleji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Beyin hasarları Beyin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iskemisi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Beyin sapı enfarktüsleri</w:t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F6794F" w:rsidRDefault="00F6794F" w:rsidP="00F679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3"/>
  </w:num>
  <w:num w:numId="2">
    <w:abstractNumId w:val="8"/>
  </w:num>
  <w:num w:numId="3">
    <w:abstractNumId w:val="31"/>
  </w:num>
  <w:num w:numId="4">
    <w:abstractNumId w:val="15"/>
  </w:num>
  <w:num w:numId="5">
    <w:abstractNumId w:val="13"/>
  </w:num>
  <w:num w:numId="6">
    <w:abstractNumId w:val="5"/>
  </w:num>
  <w:num w:numId="7">
    <w:abstractNumId w:val="0"/>
  </w:num>
  <w:num w:numId="8">
    <w:abstractNumId w:val="32"/>
  </w:num>
  <w:num w:numId="9">
    <w:abstractNumId w:val="17"/>
  </w:num>
  <w:num w:numId="10">
    <w:abstractNumId w:val="26"/>
  </w:num>
  <w:num w:numId="11">
    <w:abstractNumId w:val="19"/>
  </w:num>
  <w:num w:numId="12">
    <w:abstractNumId w:val="2"/>
  </w:num>
  <w:num w:numId="13">
    <w:abstractNumId w:val="9"/>
  </w:num>
  <w:num w:numId="14">
    <w:abstractNumId w:val="30"/>
  </w:num>
  <w:num w:numId="15">
    <w:abstractNumId w:val="21"/>
  </w:num>
  <w:num w:numId="16">
    <w:abstractNumId w:val="27"/>
  </w:num>
  <w:num w:numId="17">
    <w:abstractNumId w:val="25"/>
  </w:num>
  <w:num w:numId="18">
    <w:abstractNumId w:val="24"/>
  </w:num>
  <w:num w:numId="19">
    <w:abstractNumId w:val="4"/>
  </w:num>
  <w:num w:numId="20">
    <w:abstractNumId w:val="11"/>
  </w:num>
  <w:num w:numId="21">
    <w:abstractNumId w:val="16"/>
  </w:num>
  <w:num w:numId="22">
    <w:abstractNumId w:val="28"/>
  </w:num>
  <w:num w:numId="23">
    <w:abstractNumId w:val="12"/>
  </w:num>
  <w:num w:numId="24">
    <w:abstractNumId w:val="7"/>
  </w:num>
  <w:num w:numId="25">
    <w:abstractNumId w:val="10"/>
  </w:num>
  <w:num w:numId="26">
    <w:abstractNumId w:val="3"/>
  </w:num>
  <w:num w:numId="27">
    <w:abstractNumId w:val="18"/>
  </w:num>
  <w:num w:numId="28">
    <w:abstractNumId w:val="29"/>
  </w:num>
  <w:num w:numId="29">
    <w:abstractNumId w:val="14"/>
  </w:num>
  <w:num w:numId="30">
    <w:abstractNumId w:val="6"/>
  </w:num>
  <w:num w:numId="31">
    <w:abstractNumId w:val="22"/>
  </w:num>
  <w:num w:numId="32">
    <w:abstractNumId w:val="20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6794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VRFMU5EVT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VRFMU5EVTE" TargetMode="External"/><Relationship Id="rId5" Type="http://schemas.openxmlformats.org/officeDocument/2006/relationships/hyperlink" Target="https://app.trdizin.gov.tr/publication/journal/detail/TmpZM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2020-09-04T07:50:00Z</dcterms:created>
  <dcterms:modified xsi:type="dcterms:W3CDTF">2020-09-04T07:50:00Z</dcterms:modified>
</cp:coreProperties>
</file>