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B88" w:rsidRPr="00730B88" w:rsidRDefault="00730B88" w:rsidP="00730B88">
      <w:pPr>
        <w:spacing w:before="272" w:line="240" w:lineRule="auto"/>
        <w:outlineLvl w:val="2"/>
        <w:rPr>
          <w:rFonts w:ascii="inherit" w:eastAsia="Times New Roman" w:hAnsi="inherit" w:cs="Arial"/>
          <w:color w:val="3E3F3A"/>
          <w:sz w:val="33"/>
          <w:szCs w:val="33"/>
          <w:lang w:eastAsia="tr-TR"/>
        </w:rPr>
      </w:pPr>
      <w:r w:rsidRPr="00730B88">
        <w:rPr>
          <w:rFonts w:ascii="inherit" w:eastAsia="Times New Roman" w:hAnsi="inherit" w:cs="Arial"/>
          <w:b/>
          <w:bCs/>
          <w:color w:val="3E3F3A"/>
          <w:sz w:val="33"/>
          <w:lang w:eastAsia="tr-TR"/>
        </w:rPr>
        <w:t>Postoperative Hypoparathyroidism in Total Thyroidectomy: Incidence and Predictive Factors - Original Article</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Abstract</w:t>
      </w:r>
      <w:r w:rsidRPr="00730B88">
        <w:rPr>
          <w:rFonts w:ascii="Tahoma" w:eastAsia="Times New Roman" w:hAnsi="Tahoma" w:cs="Tahoma"/>
          <w:b/>
          <w:bCs/>
          <w:color w:val="3E3F3A"/>
          <w:sz w:val="20"/>
          <w:szCs w:val="20"/>
          <w:lang w:eastAsia="tr-TR"/>
        </w:rPr>
        <w:br/>
      </w:r>
      <w:r w:rsidRPr="00730B88">
        <w:rPr>
          <w:rFonts w:ascii="Tahoma" w:eastAsia="Times New Roman" w:hAnsi="Tahoma" w:cs="Tahoma"/>
          <w:b/>
          <w:bCs/>
          <w:color w:val="3E3F3A"/>
          <w:sz w:val="20"/>
          <w:szCs w:val="20"/>
          <w:lang w:eastAsia="tr-TR"/>
        </w:rPr>
        <w:br/>
      </w:r>
      <w:r w:rsidRPr="00730B88">
        <w:rPr>
          <w:rFonts w:ascii="Tahoma" w:eastAsia="Times New Roman" w:hAnsi="Tahoma" w:cs="Tahoma"/>
          <w:b/>
          <w:bCs/>
          <w:color w:val="3E3F3A"/>
          <w:sz w:val="20"/>
          <w:lang w:eastAsia="tr-TR"/>
        </w:rPr>
        <w:t>Objective:</w:t>
      </w:r>
      <w:r w:rsidRPr="00730B88">
        <w:rPr>
          <w:rFonts w:ascii="Tahoma" w:eastAsia="Times New Roman" w:hAnsi="Tahoma" w:cs="Tahoma"/>
          <w:color w:val="3E3F3A"/>
          <w:sz w:val="20"/>
          <w:szCs w:val="20"/>
          <w:lang w:eastAsia="tr-TR"/>
        </w:rPr>
        <w:t> Total thyroidectomy is increasingly accepted as a choice of treatment not only for malignant but also for benign thyroid disorders. Nowadays, postoperative hypocalcaemia is the major concern in total thyroidectomy. The aim of this study is to quantify risk factors contributing to postoperative hypocalcaemia rates.</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Material and methods:</w:t>
      </w:r>
      <w:r w:rsidRPr="00730B88">
        <w:rPr>
          <w:rFonts w:ascii="Tahoma" w:eastAsia="Times New Roman" w:hAnsi="Tahoma" w:cs="Tahoma"/>
          <w:color w:val="3E3F3A"/>
          <w:sz w:val="20"/>
          <w:szCs w:val="20"/>
          <w:lang w:eastAsia="tr-TR"/>
        </w:rPr>
        <w:t> Medical records of 88 patients who underwent total thyroidectomy from 2000 to 2004 were reviewed. In addition to demographic information, postoperative hypocalcaemia and related risk factors were identified.</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Results:</w:t>
      </w:r>
      <w:r w:rsidRPr="00730B88">
        <w:rPr>
          <w:rFonts w:ascii="Tahoma" w:eastAsia="Times New Roman" w:hAnsi="Tahoma" w:cs="Tahoma"/>
          <w:color w:val="3E3F3A"/>
          <w:sz w:val="20"/>
          <w:szCs w:val="20"/>
          <w:lang w:eastAsia="tr-TR"/>
        </w:rPr>
        <w:t> The most common indication for total thyroidectomy was multinodular goiter (</w:t>
      </w:r>
      <w:proofErr w:type="gramStart"/>
      <w:r w:rsidRPr="00730B88">
        <w:rPr>
          <w:rFonts w:ascii="Tahoma" w:eastAsia="Times New Roman" w:hAnsi="Tahoma" w:cs="Tahoma"/>
          <w:color w:val="3E3F3A"/>
          <w:sz w:val="20"/>
          <w:szCs w:val="20"/>
          <w:lang w:eastAsia="tr-TR"/>
        </w:rPr>
        <w:t>53.4</w:t>
      </w:r>
      <w:proofErr w:type="gramEnd"/>
      <w:r w:rsidRPr="00730B88">
        <w:rPr>
          <w:rFonts w:ascii="Tahoma" w:eastAsia="Times New Roman" w:hAnsi="Tahoma" w:cs="Tahoma"/>
          <w:color w:val="3E3F3A"/>
          <w:sz w:val="20"/>
          <w:szCs w:val="20"/>
          <w:lang w:eastAsia="tr-TR"/>
        </w:rPr>
        <w:t>%). One patient with anaplastic thyroid carcinoma died because of respiratory failure (</w:t>
      </w:r>
      <w:proofErr w:type="gramStart"/>
      <w:r w:rsidRPr="00730B88">
        <w:rPr>
          <w:rFonts w:ascii="Tahoma" w:eastAsia="Times New Roman" w:hAnsi="Tahoma" w:cs="Tahoma"/>
          <w:color w:val="3E3F3A"/>
          <w:sz w:val="20"/>
          <w:szCs w:val="20"/>
          <w:lang w:eastAsia="tr-TR"/>
        </w:rPr>
        <w:t>1.1</w:t>
      </w:r>
      <w:proofErr w:type="gramEnd"/>
      <w:r w:rsidRPr="00730B88">
        <w:rPr>
          <w:rFonts w:ascii="Tahoma" w:eastAsia="Times New Roman" w:hAnsi="Tahoma" w:cs="Tahoma"/>
          <w:color w:val="3E3F3A"/>
          <w:sz w:val="20"/>
          <w:szCs w:val="20"/>
          <w:lang w:eastAsia="tr-TR"/>
        </w:rPr>
        <w:t xml:space="preserve">%). Temporary and permanent hypoparathyroidism rates were </w:t>
      </w:r>
      <w:proofErr w:type="gramStart"/>
      <w:r w:rsidRPr="00730B88">
        <w:rPr>
          <w:rFonts w:ascii="Tahoma" w:eastAsia="Times New Roman" w:hAnsi="Tahoma" w:cs="Tahoma"/>
          <w:color w:val="3E3F3A"/>
          <w:sz w:val="20"/>
          <w:szCs w:val="20"/>
          <w:lang w:eastAsia="tr-TR"/>
        </w:rPr>
        <w:t>26.1</w:t>
      </w:r>
      <w:proofErr w:type="gramEnd"/>
      <w:r w:rsidRPr="00730B88">
        <w:rPr>
          <w:rFonts w:ascii="Tahoma" w:eastAsia="Times New Roman" w:hAnsi="Tahoma" w:cs="Tahoma"/>
          <w:color w:val="3E3F3A"/>
          <w:sz w:val="20"/>
          <w:szCs w:val="20"/>
          <w:lang w:eastAsia="tr-TR"/>
        </w:rPr>
        <w:t>% and 3.4 %, respectively. Parathyroid reimplantation was performed to 7 patients (</w:t>
      </w:r>
      <w:proofErr w:type="gramStart"/>
      <w:r w:rsidRPr="00730B88">
        <w:rPr>
          <w:rFonts w:ascii="Tahoma" w:eastAsia="Times New Roman" w:hAnsi="Tahoma" w:cs="Tahoma"/>
          <w:color w:val="3E3F3A"/>
          <w:sz w:val="20"/>
          <w:szCs w:val="20"/>
          <w:lang w:eastAsia="tr-TR"/>
        </w:rPr>
        <w:t>7.9</w:t>
      </w:r>
      <w:proofErr w:type="gramEnd"/>
      <w:r w:rsidRPr="00730B88">
        <w:rPr>
          <w:rFonts w:ascii="Tahoma" w:eastAsia="Times New Roman" w:hAnsi="Tahoma" w:cs="Tahoma"/>
          <w:color w:val="3E3F3A"/>
          <w:sz w:val="20"/>
          <w:szCs w:val="20"/>
          <w:lang w:eastAsia="tr-TR"/>
        </w:rPr>
        <w:t>%). Indication of surgery was statistically associated with an increased incidence of hypocalcemia (P=0.019 for thyroid carcinoma and P=0.005 for completion thyroidectomy), whereas, sex, age, neck dissection and parathyroid reimplantation were not. </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Conclusions:</w:t>
      </w:r>
      <w:r w:rsidRPr="00730B88">
        <w:rPr>
          <w:rFonts w:ascii="Tahoma" w:eastAsia="Times New Roman" w:hAnsi="Tahoma" w:cs="Tahoma"/>
          <w:color w:val="3E3F3A"/>
          <w:sz w:val="20"/>
          <w:szCs w:val="20"/>
          <w:lang w:eastAsia="tr-TR"/>
        </w:rPr>
        <w:t> Postoperative hypocalcaemia is the major concern for thyroid surgeons. Completion and total thyroidectomy for thyroid malignancy increased postoperative hypoparathyroidism. With meticulous attention to operative technique and anatomical detail, surgeons can achieve low morbidity rates. Turk Jem 2007; 11: 16-9</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Key words:</w:t>
      </w:r>
      <w:r w:rsidRPr="00730B88">
        <w:rPr>
          <w:rFonts w:ascii="Tahoma" w:eastAsia="Times New Roman" w:hAnsi="Tahoma" w:cs="Tahoma"/>
          <w:color w:val="3E3F3A"/>
          <w:sz w:val="20"/>
          <w:szCs w:val="20"/>
          <w:lang w:eastAsia="tr-TR"/>
        </w:rPr>
        <w:t> Total thyroidectomy, hypocalcaemia, hypoparathyroidism</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Özet</w:t>
      </w:r>
      <w:r w:rsidRPr="00730B88">
        <w:rPr>
          <w:rFonts w:ascii="Tahoma" w:eastAsia="Times New Roman" w:hAnsi="Tahoma" w:cs="Tahoma"/>
          <w:b/>
          <w:bCs/>
          <w:color w:val="3E3F3A"/>
          <w:sz w:val="20"/>
          <w:szCs w:val="20"/>
          <w:lang w:eastAsia="tr-TR"/>
        </w:rPr>
        <w:br/>
      </w:r>
      <w:r w:rsidRPr="00730B88">
        <w:rPr>
          <w:rFonts w:ascii="Tahoma" w:eastAsia="Times New Roman" w:hAnsi="Tahoma" w:cs="Tahoma"/>
          <w:b/>
          <w:bCs/>
          <w:color w:val="3E3F3A"/>
          <w:sz w:val="20"/>
          <w:szCs w:val="20"/>
          <w:lang w:eastAsia="tr-TR"/>
        </w:rPr>
        <w:br/>
      </w:r>
      <w:r w:rsidRPr="00730B88">
        <w:rPr>
          <w:rFonts w:ascii="Tahoma" w:eastAsia="Times New Roman" w:hAnsi="Tahoma" w:cs="Tahoma"/>
          <w:b/>
          <w:bCs/>
          <w:color w:val="3E3F3A"/>
          <w:sz w:val="20"/>
          <w:lang w:eastAsia="tr-TR"/>
        </w:rPr>
        <w:t>Amaç:</w:t>
      </w:r>
      <w:r w:rsidRPr="00730B88">
        <w:rPr>
          <w:rFonts w:ascii="Tahoma" w:eastAsia="Times New Roman" w:hAnsi="Tahoma" w:cs="Tahoma"/>
          <w:color w:val="3E3F3A"/>
          <w:sz w:val="20"/>
          <w:szCs w:val="20"/>
          <w:lang w:eastAsia="tr-TR"/>
        </w:rPr>
        <w:t xml:space="preserve"> Total tiroidektomi, günümüzde, malign olduğu kadar, benign tiroid hastalıklarında da kullanılan cerrahi yöntemdir. Postoperatif hipokalsemi, total tiroidektomilerden sonra karşımıza çıkabilecek major bir </w:t>
      </w:r>
      <w:proofErr w:type="gramStart"/>
      <w:r w:rsidRPr="00730B88">
        <w:rPr>
          <w:rFonts w:ascii="Tahoma" w:eastAsia="Times New Roman" w:hAnsi="Tahoma" w:cs="Tahoma"/>
          <w:color w:val="3E3F3A"/>
          <w:sz w:val="20"/>
          <w:szCs w:val="20"/>
          <w:lang w:eastAsia="tr-TR"/>
        </w:rPr>
        <w:t>komplikasyondur</w:t>
      </w:r>
      <w:proofErr w:type="gramEnd"/>
      <w:r w:rsidRPr="00730B88">
        <w:rPr>
          <w:rFonts w:ascii="Tahoma" w:eastAsia="Times New Roman" w:hAnsi="Tahoma" w:cs="Tahoma"/>
          <w:color w:val="3E3F3A"/>
          <w:sz w:val="20"/>
          <w:szCs w:val="20"/>
          <w:lang w:eastAsia="tr-TR"/>
        </w:rPr>
        <w:t>.  Bu çalışmada, postoperatif hipokalsemiler için olası risk faktörlerini ortaya koymayı amaçladık. </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Gereç ve Yöntem:</w:t>
      </w:r>
      <w:r w:rsidRPr="00730B88">
        <w:rPr>
          <w:rFonts w:ascii="Tahoma" w:eastAsia="Times New Roman" w:hAnsi="Tahoma" w:cs="Tahoma"/>
          <w:color w:val="3E3F3A"/>
          <w:sz w:val="20"/>
          <w:szCs w:val="20"/>
          <w:lang w:eastAsia="tr-TR"/>
        </w:rPr>
        <w:t xml:space="preserve"> 20002004 yılları arasında, değişik sebeplerden dolayı total tiroidektomiye maruz kalmış olan 88 hasta </w:t>
      </w:r>
      <w:proofErr w:type="gramStart"/>
      <w:r w:rsidRPr="00730B88">
        <w:rPr>
          <w:rFonts w:ascii="Tahoma" w:eastAsia="Times New Roman" w:hAnsi="Tahoma" w:cs="Tahoma"/>
          <w:color w:val="3E3F3A"/>
          <w:sz w:val="20"/>
          <w:szCs w:val="20"/>
          <w:lang w:eastAsia="tr-TR"/>
        </w:rPr>
        <w:t>retrospektif</w:t>
      </w:r>
      <w:proofErr w:type="gramEnd"/>
      <w:r w:rsidRPr="00730B88">
        <w:rPr>
          <w:rFonts w:ascii="Tahoma" w:eastAsia="Times New Roman" w:hAnsi="Tahoma" w:cs="Tahoma"/>
          <w:color w:val="3E3F3A"/>
          <w:sz w:val="20"/>
          <w:szCs w:val="20"/>
          <w:lang w:eastAsia="tr-TR"/>
        </w:rPr>
        <w:t xml:space="preserve"> olarak değerlendirildi. Postoperatif hipokalsemi oranları ve bunla ilgili risk faktörleri değerlendirildi.</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Bulgular:</w:t>
      </w:r>
      <w:r w:rsidRPr="00730B88">
        <w:rPr>
          <w:rFonts w:ascii="Tahoma" w:eastAsia="Times New Roman" w:hAnsi="Tahoma" w:cs="Tahoma"/>
          <w:color w:val="3E3F3A"/>
          <w:sz w:val="20"/>
          <w:szCs w:val="20"/>
          <w:lang w:eastAsia="tr-TR"/>
        </w:rPr>
        <w:t> Total tiroidektomi için en fazla endikasyonu multinodüler guatr oluşturdu (%</w:t>
      </w:r>
      <w:proofErr w:type="gramStart"/>
      <w:r w:rsidRPr="00730B88">
        <w:rPr>
          <w:rFonts w:ascii="Tahoma" w:eastAsia="Times New Roman" w:hAnsi="Tahoma" w:cs="Tahoma"/>
          <w:color w:val="3E3F3A"/>
          <w:sz w:val="20"/>
          <w:szCs w:val="20"/>
          <w:lang w:eastAsia="tr-TR"/>
        </w:rPr>
        <w:t>53.4</w:t>
      </w:r>
      <w:proofErr w:type="gramEnd"/>
      <w:r w:rsidRPr="00730B88">
        <w:rPr>
          <w:rFonts w:ascii="Tahoma" w:eastAsia="Times New Roman" w:hAnsi="Tahoma" w:cs="Tahoma"/>
          <w:color w:val="3E3F3A"/>
          <w:sz w:val="20"/>
          <w:szCs w:val="20"/>
          <w:lang w:eastAsia="tr-TR"/>
        </w:rPr>
        <w:t>). Mortalite 1 hastada gözlendi (%</w:t>
      </w:r>
      <w:proofErr w:type="gramStart"/>
      <w:r w:rsidRPr="00730B88">
        <w:rPr>
          <w:rFonts w:ascii="Tahoma" w:eastAsia="Times New Roman" w:hAnsi="Tahoma" w:cs="Tahoma"/>
          <w:color w:val="3E3F3A"/>
          <w:sz w:val="20"/>
          <w:szCs w:val="20"/>
          <w:lang w:eastAsia="tr-TR"/>
        </w:rPr>
        <w:t>1.1</w:t>
      </w:r>
      <w:proofErr w:type="gramEnd"/>
      <w:r w:rsidRPr="00730B88">
        <w:rPr>
          <w:rFonts w:ascii="Tahoma" w:eastAsia="Times New Roman" w:hAnsi="Tahoma" w:cs="Tahoma"/>
          <w:color w:val="3E3F3A"/>
          <w:sz w:val="20"/>
          <w:szCs w:val="20"/>
          <w:lang w:eastAsia="tr-TR"/>
        </w:rPr>
        <w:t>). Geçici ve kalıcı hipokalsemi oranları sırasıyla %</w:t>
      </w:r>
      <w:proofErr w:type="gramStart"/>
      <w:r w:rsidRPr="00730B88">
        <w:rPr>
          <w:rFonts w:ascii="Tahoma" w:eastAsia="Times New Roman" w:hAnsi="Tahoma" w:cs="Tahoma"/>
          <w:color w:val="3E3F3A"/>
          <w:sz w:val="20"/>
          <w:szCs w:val="20"/>
          <w:lang w:eastAsia="tr-TR"/>
        </w:rPr>
        <w:t>26.1</w:t>
      </w:r>
      <w:proofErr w:type="gramEnd"/>
      <w:r w:rsidRPr="00730B88">
        <w:rPr>
          <w:rFonts w:ascii="Tahoma" w:eastAsia="Times New Roman" w:hAnsi="Tahoma" w:cs="Tahoma"/>
          <w:color w:val="3E3F3A"/>
          <w:sz w:val="20"/>
          <w:szCs w:val="20"/>
          <w:lang w:eastAsia="tr-TR"/>
        </w:rPr>
        <w:t xml:space="preserve"> ve %3.4 idi. Yedi hastaya paratiroid reimplantasyonu yapıldı. Cerrahi endikasyon ve postoperatif hipokalsemi oranları arasında anlamlı bir ilişki gözlendi (tiroid kanserleri için p=0.019 ve tamamlayıcı tiroidektomiler için p=0.005). Bununla birlikte, hastanın yaşı, cinsiyeti, boyun diseksiyonu ve paratiroid reimplantasyonu ile istatistiksel bir ilişki yoktu. </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Sonuç:</w:t>
      </w:r>
      <w:r w:rsidRPr="00730B88">
        <w:rPr>
          <w:rFonts w:ascii="Tahoma" w:eastAsia="Times New Roman" w:hAnsi="Tahoma" w:cs="Tahoma"/>
          <w:color w:val="3E3F3A"/>
          <w:sz w:val="20"/>
          <w:szCs w:val="20"/>
          <w:lang w:eastAsia="tr-TR"/>
        </w:rPr>
        <w:t xml:space="preserve"> Tamamlayıcı tiroidektomiler ve tiroid kanserleri için gerçekleştirilen total tiroidektomiler, postoperatif hipoklasemi açısından risk faktörleridir. Anatomik bilgilerin ışığı altında dikkatli bir cerrahi </w:t>
      </w:r>
      <w:r w:rsidRPr="00730B88">
        <w:rPr>
          <w:rFonts w:ascii="Tahoma" w:eastAsia="Times New Roman" w:hAnsi="Tahoma" w:cs="Tahoma"/>
          <w:color w:val="3E3F3A"/>
          <w:sz w:val="20"/>
          <w:szCs w:val="20"/>
          <w:lang w:eastAsia="tr-TR"/>
        </w:rPr>
        <w:lastRenderedPageBreak/>
        <w:t>teknik ile postoperatif hipokalsemi oranları oldukça azaltılabilecektir. Turk Jem 2007; 11: 16-9</w:t>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Anahtar kelimeler:</w:t>
      </w:r>
      <w:r w:rsidRPr="00730B88">
        <w:rPr>
          <w:rFonts w:ascii="Tahoma" w:eastAsia="Times New Roman" w:hAnsi="Tahoma" w:cs="Tahoma"/>
          <w:color w:val="3E3F3A"/>
          <w:sz w:val="20"/>
          <w:szCs w:val="20"/>
          <w:lang w:eastAsia="tr-TR"/>
        </w:rPr>
        <w:t> Total tiroidektomi, hipokalsemi, hipoparatiroidizm</w:t>
      </w:r>
    </w:p>
    <w:p w:rsidR="00730B88" w:rsidRPr="00730B88" w:rsidRDefault="00730B88" w:rsidP="00730B88">
      <w:pPr>
        <w:spacing w:before="95" w:after="95" w:line="240" w:lineRule="auto"/>
        <w:rPr>
          <w:rFonts w:ascii="Times New Roman" w:eastAsia="Times New Roman" w:hAnsi="Times New Roman" w:cs="Times New Roman"/>
          <w:sz w:val="24"/>
          <w:szCs w:val="24"/>
          <w:lang w:eastAsia="tr-TR"/>
        </w:rPr>
      </w:pPr>
      <w:r w:rsidRPr="00730B88">
        <w:rPr>
          <w:rFonts w:ascii="Times New Roman" w:eastAsia="Times New Roman" w:hAnsi="Times New Roman" w:cs="Times New Roman"/>
          <w:sz w:val="24"/>
          <w:szCs w:val="24"/>
          <w:lang w:eastAsia="tr-TR"/>
        </w:rPr>
        <w:pict>
          <v:rect id="_x0000_i1025" style="width:0;height:0" o:hralign="center" o:hrstd="t" o:hrnoshade="t" o:hr="t" fillcolor="#3e3f3a" stroked="f"/>
        </w:pic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Introduction</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color w:val="3E3F3A"/>
          <w:sz w:val="20"/>
          <w:szCs w:val="20"/>
          <w:lang w:eastAsia="tr-TR"/>
        </w:rPr>
        <w:t xml:space="preserve">Total thyroidectomy (TT) is performed for thyroid malignancy, toxic thyroid disease, multinodular goiter (MNG), thyroiditis and even parathyroid diseases such as malignancies (1-4). An increasing proportion of thyroid operations are now </w:t>
      </w:r>
      <w:proofErr w:type="gramStart"/>
      <w:r w:rsidRPr="00730B88">
        <w:rPr>
          <w:rFonts w:ascii="Tahoma" w:eastAsia="Times New Roman" w:hAnsi="Tahoma" w:cs="Tahoma"/>
          <w:color w:val="3E3F3A"/>
          <w:sz w:val="20"/>
          <w:szCs w:val="20"/>
          <w:lang w:eastAsia="tr-TR"/>
        </w:rPr>
        <w:t>done</w:t>
      </w:r>
      <w:proofErr w:type="gramEnd"/>
      <w:r w:rsidRPr="00730B88">
        <w:rPr>
          <w:rFonts w:ascii="Tahoma" w:eastAsia="Times New Roman" w:hAnsi="Tahoma" w:cs="Tahoma"/>
          <w:color w:val="3E3F3A"/>
          <w:sz w:val="20"/>
          <w:szCs w:val="20"/>
          <w:lang w:eastAsia="tr-TR"/>
        </w:rPr>
        <w:t xml:space="preserve"> as total thyroidectomy (5). The only real argument against total thyroidectomy is the potential for an increased risk of complications. Total thyroidectomy carries potential risk to all parathyroid glands and both recurrent laryngeal nerves. </w:t>
      </w:r>
      <w:r w:rsidRPr="00730B88">
        <w:rPr>
          <w:rFonts w:ascii="Tahoma" w:eastAsia="Times New Roman" w:hAnsi="Tahoma" w:cs="Tahoma"/>
          <w:color w:val="3E3F3A"/>
          <w:sz w:val="20"/>
          <w:szCs w:val="20"/>
          <w:lang w:eastAsia="tr-TR"/>
        </w:rPr>
        <w:br/>
        <w:t>Transient hypocalcaemia and permanent hypoparathyroidism are well-known sequels of TT (6). Therefore, it is crucial to be aware of the incidences and to identify potential predictive clinical factors for these morbidities.</w:t>
      </w:r>
      <w:r w:rsidRPr="00730B88">
        <w:rPr>
          <w:rFonts w:ascii="Tahoma" w:eastAsia="Times New Roman" w:hAnsi="Tahoma" w:cs="Tahoma"/>
          <w:color w:val="3E3F3A"/>
          <w:sz w:val="20"/>
          <w:szCs w:val="20"/>
          <w:lang w:eastAsia="tr-TR"/>
        </w:rPr>
        <w:br/>
        <w:t>This study was undertaken to determine the postoperative incidence and predictive factors of the hypoparathyroidism in patients who underwent TT in a single center. </w:t>
      </w:r>
      <w:r w:rsidRPr="00730B88">
        <w:rPr>
          <w:rFonts w:ascii="Tahoma" w:eastAsia="Times New Roman" w:hAnsi="Tahoma" w:cs="Tahoma"/>
          <w:color w:val="3E3F3A"/>
          <w:sz w:val="20"/>
          <w:szCs w:val="20"/>
          <w:lang w:eastAsia="tr-TR"/>
        </w:rPr>
        <w:br/>
      </w:r>
      <w:r w:rsidRPr="00730B88">
        <w:rPr>
          <w:rFonts w:ascii="Tahoma" w:eastAsia="Times New Roman" w:hAnsi="Tahoma" w:cs="Tahoma"/>
          <w:color w:val="3E3F3A"/>
          <w:sz w:val="20"/>
          <w:szCs w:val="20"/>
          <w:lang w:eastAsia="tr-TR"/>
        </w:rPr>
        <w:br/>
      </w:r>
      <w:r w:rsidRPr="00730B88">
        <w:rPr>
          <w:rFonts w:ascii="Tahoma" w:eastAsia="Times New Roman" w:hAnsi="Tahoma" w:cs="Tahoma"/>
          <w:b/>
          <w:bCs/>
          <w:color w:val="3E3F3A"/>
          <w:sz w:val="20"/>
          <w:lang w:eastAsia="tr-TR"/>
        </w:rPr>
        <w:t>Material and Methods</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color w:val="3E3F3A"/>
          <w:sz w:val="20"/>
          <w:szCs w:val="20"/>
          <w:lang w:eastAsia="tr-TR"/>
        </w:rPr>
        <w:t>From November 2000 to November 2004 88 consecutive patients underwent total thyroidectomy. There were 79 women and 9 men with a mean age of 46.65 years (range 17 to 74). All patients had routine biochemical determinations, thyroid function tests and chest radiographs. The preoperative work-up consisted of thyroid ultrasound, fine needle aspiration cytology (FNAC), motility control of vocal cords through indirect laryngoscopy. Thyroid scintigraphy was performed selectively. Indications for surgery included multinodular goiter (MNG) (n=38), toxic MNG (n=9), toxic diffuse goiter (n=11), non-toxic diffuse goiter (diagnosed as Hashimoto thyroiditis in pathological examination, n=5), thyroid carcinoma (n=17) </w:t>
      </w:r>
      <w:hyperlink r:id="rId4" w:history="1">
        <w:r w:rsidRPr="00730B88">
          <w:rPr>
            <w:rFonts w:ascii="Tahoma" w:eastAsia="Times New Roman" w:hAnsi="Tahoma" w:cs="Tahoma"/>
            <w:color w:val="0F4BAC"/>
            <w:sz w:val="20"/>
            <w:lang w:eastAsia="tr-TR"/>
          </w:rPr>
          <w:t>(Table 1).</w:t>
        </w:r>
      </w:hyperlink>
      <w:r w:rsidRPr="00730B88">
        <w:rPr>
          <w:rFonts w:ascii="Tahoma" w:eastAsia="Times New Roman" w:hAnsi="Tahoma" w:cs="Tahoma"/>
          <w:color w:val="3E3F3A"/>
          <w:sz w:val="20"/>
          <w:szCs w:val="20"/>
          <w:lang w:eastAsia="tr-TR"/>
        </w:rPr>
        <w:t> Completion thyroidectomy for recurrent goiter was performed in 8 patients. After the permanent histopathological specimens demonstrated carcinoma at initial thyroidectomy, completion thyroidectomy was performed in 4 patients. A modified neck dissection was performed in 5 patients with clinically evident or biopsy proved bulky lymfadenopaty. Two patients had deliberate partial resection of a recurrent laryngeal nerve involved with thyroid carcinoma. Surgery was performed by staff general surgeons in our center or by trainees under their supervision following classical operation procedures. Total dissection of the recurrent nerve over its entire cervical course until they entered the larynx was performed. Careful dissection was also performed along the thyroid capsule attempting to identify and preserve parathyroid glands with their vascular supply. If it was necessary to devascularize or separate the parathyroid gland from its surrounding structures or if a parathyroid gland was identified within the resected specimen, it was auto transplanted into the sternocleidomastoid muscle (n=7). </w:t>
      </w:r>
      <w:r w:rsidRPr="00730B88">
        <w:rPr>
          <w:rFonts w:ascii="Tahoma" w:eastAsia="Times New Roman" w:hAnsi="Tahoma" w:cs="Tahoma"/>
          <w:color w:val="3E3F3A"/>
          <w:sz w:val="20"/>
          <w:szCs w:val="20"/>
          <w:lang w:eastAsia="tr-TR"/>
        </w:rPr>
        <w:br/>
        <w:t xml:space="preserve">All patients underwent indirect laryngoscopic examination of vocal cords by an otolaryngologist and total serum calcium and phosphorus levels were measured twice in the first 24 h postoperatively. Serum PTH level was also measured when serum calcium level &lt; 8 mg/dl with or without symptoms such as tetany, muscle spasm and peroral paresthesia was obtained. Patients were considered to have permanent hypoparathyroidism if they still required daily doses of 1,25-dihyd-roxycholecalciferol or calcium lactate and their PTH levels were below the normal range after 12 months postoperatively. </w:t>
      </w:r>
      <w:r w:rsidRPr="00730B88">
        <w:rPr>
          <w:rFonts w:ascii="Tahoma" w:eastAsia="Times New Roman" w:hAnsi="Tahoma" w:cs="Tahoma"/>
          <w:color w:val="3E3F3A"/>
          <w:sz w:val="20"/>
          <w:szCs w:val="20"/>
          <w:lang w:eastAsia="tr-TR"/>
        </w:rPr>
        <w:lastRenderedPageBreak/>
        <w:t>Follow ups were recorded in a computerized database.</w:t>
      </w:r>
      <w:r w:rsidRPr="00730B88">
        <w:rPr>
          <w:rFonts w:ascii="Tahoma" w:eastAsia="Times New Roman" w:hAnsi="Tahoma" w:cs="Tahoma"/>
          <w:color w:val="3E3F3A"/>
          <w:sz w:val="20"/>
          <w:szCs w:val="20"/>
          <w:lang w:eastAsia="tr-TR"/>
        </w:rPr>
        <w:br/>
        <w:t>Data were analyzed by Chi Square test or unpaired t-test, and differences were regarded as significant when the P value was less than 0.05. </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Results</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color w:val="3E3F3A"/>
          <w:sz w:val="20"/>
          <w:szCs w:val="20"/>
          <w:lang w:eastAsia="tr-TR"/>
        </w:rPr>
        <w:t xml:space="preserve">The mortality rate was </w:t>
      </w:r>
      <w:proofErr w:type="gramStart"/>
      <w:r w:rsidRPr="00730B88">
        <w:rPr>
          <w:rFonts w:ascii="Tahoma" w:eastAsia="Times New Roman" w:hAnsi="Tahoma" w:cs="Tahoma"/>
          <w:color w:val="3E3F3A"/>
          <w:sz w:val="20"/>
          <w:szCs w:val="20"/>
          <w:lang w:eastAsia="tr-TR"/>
        </w:rPr>
        <w:t>1.1</w:t>
      </w:r>
      <w:proofErr w:type="gramEnd"/>
      <w:r w:rsidRPr="00730B88">
        <w:rPr>
          <w:rFonts w:ascii="Tahoma" w:eastAsia="Times New Roman" w:hAnsi="Tahoma" w:cs="Tahoma"/>
          <w:color w:val="3E3F3A"/>
          <w:sz w:val="20"/>
          <w:szCs w:val="20"/>
          <w:lang w:eastAsia="tr-TR"/>
        </w:rPr>
        <w:t>% (n=1). The elderly woman with anaplastic thyroid carcinoma died because of respiratory failure. There were 4 hematomas (3 superficial and 1 deep), 1 abscess and 1 hemorrhage which required re-exploration with no further complications.</w:t>
      </w:r>
      <w:r w:rsidRPr="00730B88">
        <w:rPr>
          <w:rFonts w:ascii="Tahoma" w:eastAsia="Times New Roman" w:hAnsi="Tahoma" w:cs="Tahoma"/>
          <w:color w:val="3E3F3A"/>
          <w:sz w:val="20"/>
          <w:szCs w:val="20"/>
          <w:lang w:eastAsia="tr-TR"/>
        </w:rPr>
        <w:br/>
        <w:t>Overall, 26 patients (</w:t>
      </w:r>
      <w:proofErr w:type="gramStart"/>
      <w:r w:rsidRPr="00730B88">
        <w:rPr>
          <w:rFonts w:ascii="Tahoma" w:eastAsia="Times New Roman" w:hAnsi="Tahoma" w:cs="Tahoma"/>
          <w:color w:val="3E3F3A"/>
          <w:sz w:val="20"/>
          <w:szCs w:val="20"/>
          <w:lang w:eastAsia="tr-TR"/>
        </w:rPr>
        <w:t>29.5</w:t>
      </w:r>
      <w:proofErr w:type="gramEnd"/>
      <w:r w:rsidRPr="00730B88">
        <w:rPr>
          <w:rFonts w:ascii="Tahoma" w:eastAsia="Times New Roman" w:hAnsi="Tahoma" w:cs="Tahoma"/>
          <w:color w:val="3E3F3A"/>
          <w:sz w:val="20"/>
          <w:szCs w:val="20"/>
          <w:lang w:eastAsia="tr-TR"/>
        </w:rPr>
        <w:t xml:space="preserve">%) were identified with postoperative hypocalcaemia. The rates of transient and permanent hypoparathyroidism were </w:t>
      </w:r>
      <w:proofErr w:type="gramStart"/>
      <w:r w:rsidRPr="00730B88">
        <w:rPr>
          <w:rFonts w:ascii="Tahoma" w:eastAsia="Times New Roman" w:hAnsi="Tahoma" w:cs="Tahoma"/>
          <w:color w:val="3E3F3A"/>
          <w:sz w:val="20"/>
          <w:szCs w:val="20"/>
          <w:lang w:eastAsia="tr-TR"/>
        </w:rPr>
        <w:t>26.1</w:t>
      </w:r>
      <w:proofErr w:type="gramEnd"/>
      <w:r w:rsidRPr="00730B88">
        <w:rPr>
          <w:rFonts w:ascii="Tahoma" w:eastAsia="Times New Roman" w:hAnsi="Tahoma" w:cs="Tahoma"/>
          <w:color w:val="3E3F3A"/>
          <w:sz w:val="20"/>
          <w:szCs w:val="20"/>
          <w:lang w:eastAsia="tr-TR"/>
        </w:rPr>
        <w:t>% and 3.4%, respectively. Parathyroid reimplantation was performed to 7 patients. Two of these 7 autotransplanted patients had postoperative hypocalcaemia (</w:t>
      </w:r>
      <w:proofErr w:type="gramStart"/>
      <w:r w:rsidRPr="00730B88">
        <w:rPr>
          <w:rFonts w:ascii="Tahoma" w:eastAsia="Times New Roman" w:hAnsi="Tahoma" w:cs="Tahoma"/>
          <w:color w:val="3E3F3A"/>
          <w:sz w:val="20"/>
          <w:szCs w:val="20"/>
          <w:lang w:eastAsia="tr-TR"/>
        </w:rPr>
        <w:t>28.6</w:t>
      </w:r>
      <w:proofErr w:type="gramEnd"/>
      <w:r w:rsidRPr="00730B88">
        <w:rPr>
          <w:rFonts w:ascii="Tahoma" w:eastAsia="Times New Roman" w:hAnsi="Tahoma" w:cs="Tahoma"/>
          <w:color w:val="3E3F3A"/>
          <w:sz w:val="20"/>
          <w:szCs w:val="20"/>
          <w:lang w:eastAsia="tr-TR"/>
        </w:rPr>
        <w:t>%). </w:t>
      </w:r>
      <w:r w:rsidRPr="00730B88">
        <w:rPr>
          <w:rFonts w:ascii="Tahoma" w:eastAsia="Times New Roman" w:hAnsi="Tahoma" w:cs="Tahoma"/>
          <w:color w:val="3E3F3A"/>
          <w:sz w:val="20"/>
          <w:szCs w:val="20"/>
          <w:lang w:eastAsia="tr-TR"/>
        </w:rPr>
        <w:br/>
        <w:t>The rates of temporary and permanent hypoparathyroidism were higher after total thyroidectomy for malignancy and completion thyroidectomy (p&lt;0.05, t test). However, no statistically significant associations between the occurence of hypocalcaemia, sex, age parathyroid reimplantation or thyrotoxicosis were identified </w:t>
      </w:r>
      <w:hyperlink r:id="rId5" w:history="1">
        <w:r w:rsidRPr="00730B88">
          <w:rPr>
            <w:rFonts w:ascii="Tahoma" w:eastAsia="Times New Roman" w:hAnsi="Tahoma" w:cs="Tahoma"/>
            <w:color w:val="0F4BAC"/>
            <w:sz w:val="20"/>
            <w:lang w:eastAsia="tr-TR"/>
          </w:rPr>
          <w:t>(Table 2). </w:t>
        </w:r>
        <w:r w:rsidRPr="00730B88">
          <w:rPr>
            <w:rFonts w:ascii="Tahoma" w:eastAsia="Times New Roman" w:hAnsi="Tahoma" w:cs="Tahoma"/>
            <w:color w:val="0F4BAC"/>
            <w:sz w:val="20"/>
            <w:szCs w:val="20"/>
            <w:lang w:eastAsia="tr-TR"/>
          </w:rPr>
          <w:br/>
        </w:r>
      </w:hyperlink>
      <w:r w:rsidRPr="00730B88">
        <w:rPr>
          <w:rFonts w:ascii="Tahoma" w:eastAsia="Times New Roman" w:hAnsi="Tahoma" w:cs="Tahoma"/>
          <w:color w:val="3E3F3A"/>
          <w:sz w:val="20"/>
          <w:szCs w:val="20"/>
          <w:lang w:eastAsia="tr-TR"/>
        </w:rPr>
        <w:t xml:space="preserve">Temporary and permanent recurrent inferior laryngeal nerve palsy rates were </w:t>
      </w:r>
      <w:proofErr w:type="gramStart"/>
      <w:r w:rsidRPr="00730B88">
        <w:rPr>
          <w:rFonts w:ascii="Tahoma" w:eastAsia="Times New Roman" w:hAnsi="Tahoma" w:cs="Tahoma"/>
          <w:color w:val="3E3F3A"/>
          <w:sz w:val="20"/>
          <w:szCs w:val="20"/>
          <w:lang w:eastAsia="tr-TR"/>
        </w:rPr>
        <w:t>5.7</w:t>
      </w:r>
      <w:proofErr w:type="gramEnd"/>
      <w:r w:rsidRPr="00730B88">
        <w:rPr>
          <w:rFonts w:ascii="Tahoma" w:eastAsia="Times New Roman" w:hAnsi="Tahoma" w:cs="Tahoma"/>
          <w:color w:val="3E3F3A"/>
          <w:sz w:val="20"/>
          <w:szCs w:val="20"/>
          <w:lang w:eastAsia="tr-TR"/>
        </w:rPr>
        <w:t>% and 0% respectively.</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Discussion</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color w:val="3E3F3A"/>
          <w:sz w:val="20"/>
          <w:szCs w:val="20"/>
          <w:lang w:eastAsia="tr-TR"/>
        </w:rPr>
        <w:t xml:space="preserve">Postoperative hypocalcaemia after total thyroidectomy has been reported to range from 0% to 68% (5,7-13). This phenomenon may be transient or permanent. Transient biochemical hypocalcaemia has been reported in the majority of the patients following thyroid surgery, not as a complication but as a treatment problem (5). The risk of permanent hypoparathyroidsm following thyroidectomy varies from 0 up to 10% (4,13-18). This dire complication is a major concern for thyroid surgeons and subjects patients to lifelong requirement of calcium and vitamin D supplement. In the present study the rates of transient and permanent hypoparathyroidism were </w:t>
      </w:r>
      <w:proofErr w:type="gramStart"/>
      <w:r w:rsidRPr="00730B88">
        <w:rPr>
          <w:rFonts w:ascii="Tahoma" w:eastAsia="Times New Roman" w:hAnsi="Tahoma" w:cs="Tahoma"/>
          <w:color w:val="3E3F3A"/>
          <w:sz w:val="20"/>
          <w:szCs w:val="20"/>
          <w:lang w:eastAsia="tr-TR"/>
        </w:rPr>
        <w:t>26.1</w:t>
      </w:r>
      <w:proofErr w:type="gramEnd"/>
      <w:r w:rsidRPr="00730B88">
        <w:rPr>
          <w:rFonts w:ascii="Tahoma" w:eastAsia="Times New Roman" w:hAnsi="Tahoma" w:cs="Tahoma"/>
          <w:color w:val="3E3F3A"/>
          <w:sz w:val="20"/>
          <w:szCs w:val="20"/>
          <w:lang w:eastAsia="tr-TR"/>
        </w:rPr>
        <w:t>% and 3.4% respectively. These rates compare favorably with other series those are performed by endocrine surgeons mostly </w:t>
      </w:r>
      <w:hyperlink r:id="rId6" w:history="1">
        <w:r w:rsidRPr="00730B88">
          <w:rPr>
            <w:rFonts w:ascii="Tahoma" w:eastAsia="Times New Roman" w:hAnsi="Tahoma" w:cs="Tahoma"/>
            <w:color w:val="0F4BAC"/>
            <w:sz w:val="20"/>
            <w:lang w:eastAsia="tr-TR"/>
          </w:rPr>
          <w:t>(Table 3).</w:t>
        </w:r>
        <w:r w:rsidRPr="00730B88">
          <w:rPr>
            <w:rFonts w:ascii="Tahoma" w:eastAsia="Times New Roman" w:hAnsi="Tahoma" w:cs="Tahoma"/>
            <w:color w:val="0F4BAC"/>
            <w:sz w:val="20"/>
            <w:szCs w:val="20"/>
            <w:lang w:eastAsia="tr-TR"/>
          </w:rPr>
          <w:br/>
        </w:r>
      </w:hyperlink>
      <w:r w:rsidRPr="00730B88">
        <w:rPr>
          <w:rFonts w:ascii="Tahoma" w:eastAsia="Times New Roman" w:hAnsi="Tahoma" w:cs="Tahoma"/>
          <w:color w:val="3E3F3A"/>
          <w:sz w:val="20"/>
          <w:szCs w:val="20"/>
          <w:lang w:eastAsia="tr-TR"/>
        </w:rPr>
        <w:t xml:space="preserve">Controversy still exists regarding factors that are associated with postoperative hypocalcaemia. Multiple factors may play role in pathogenesis of postoperative hypoparathyroidsm such as hemodilution (6), hungry bone syndrome, medications and general anesthesia (13). Recently, Bhattacharyya and coworkers reported that younger age was statistically associated with an increased incidence of hypocalcaemia (2), whereas other series revealed that older patient age carry an increased risk (19). Its conceivable that the ability of parathyroid glands to recover from operative trauma may decrease with older age. However, in the current series, age does not play significant role in postoperative hypocalcaemia. Prevalent of vitamin D deficiency and poor calcium intake and skeletal calcium reserves may play role in the transient hypocalcaemia (20). In patients experiencing significant hypocalcaemia and permanent hypoparathyroidism, the most probable causes are trauma, devascularization or inadvertent excision of one or more parathyroid glands during surgery. Bergamaschi and coworkers found that thyroidectomy with node dissection and completion thyroidectomy are risk factors for permanent hypoparathyroidism (1). In the other studies, it has been showed that permanent hypoparathyroidsm is slightly more frequent in cases of thyroidectomy for hypothyroidism, thyroid carcinoma or completion thyroidectomy (21,22). This could be explained by </w:t>
      </w:r>
      <w:r w:rsidRPr="00730B88">
        <w:rPr>
          <w:rFonts w:ascii="Tahoma" w:eastAsia="Times New Roman" w:hAnsi="Tahoma" w:cs="Tahoma"/>
          <w:color w:val="3E3F3A"/>
          <w:sz w:val="20"/>
          <w:szCs w:val="20"/>
          <w:lang w:eastAsia="tr-TR"/>
        </w:rPr>
        <w:lastRenderedPageBreak/>
        <w:t>technical difficulties of parathyroid preservation or impairment of parathyroid blood flow during dissection in this condition. The findings that hypocalcaemia is mostly associated with completion thyroidectomy and malignancy in our study, corresponds with the published series (21-24). There were 3 patients who had permanent hypoparathyroidism and this rate failed to reach statistical significance owing to the small sample size to reveal risk factors for permanent hypoparathyroidsm (1 patient had MNG with large thyroid volume and 2 patients had thyroid malignancy).</w:t>
      </w:r>
      <w:r w:rsidRPr="00730B88">
        <w:rPr>
          <w:rFonts w:ascii="Tahoma" w:eastAsia="Times New Roman" w:hAnsi="Tahoma" w:cs="Tahoma"/>
          <w:color w:val="3E3F3A"/>
          <w:sz w:val="20"/>
          <w:szCs w:val="20"/>
          <w:lang w:eastAsia="tr-TR"/>
        </w:rPr>
        <w:br/>
        <w:t>The preservation of parathyroid tissue is mandatory to obviate the terrible consequences of permanent hypoparathyroidsm. Parathyroid glands should retain in situ with an intact blood supply (15). Parathyroid autotransplantation should be considered when parathyroid glands are resected or devascularised (14). It has been shown that incidence of permanent hypoparathyroidism after autotransplantation during TT is reduced to nearly zero (3,25). Based on this fact, some authors advocated the routine autotransplantation of at least one parathyroid gland in every case of TT especially with large volume (5). Conversely, others question the safety of parathyroid autotransplatation. Also, this procedure could induce postoperative transient hypocalcaemia (21). We performed parathyroid autotransplantation in 7 cases and 2 of them had postoperative transient hypocalcaemia (</w:t>
      </w:r>
      <w:proofErr w:type="gramStart"/>
      <w:r w:rsidRPr="00730B88">
        <w:rPr>
          <w:rFonts w:ascii="Tahoma" w:eastAsia="Times New Roman" w:hAnsi="Tahoma" w:cs="Tahoma"/>
          <w:color w:val="3E3F3A"/>
          <w:sz w:val="20"/>
          <w:szCs w:val="20"/>
          <w:lang w:eastAsia="tr-TR"/>
        </w:rPr>
        <w:t>28.6</w:t>
      </w:r>
      <w:proofErr w:type="gramEnd"/>
      <w:r w:rsidRPr="00730B88">
        <w:rPr>
          <w:rFonts w:ascii="Tahoma" w:eastAsia="Times New Roman" w:hAnsi="Tahoma" w:cs="Tahoma"/>
          <w:color w:val="3E3F3A"/>
          <w:sz w:val="20"/>
          <w:szCs w:val="20"/>
          <w:lang w:eastAsia="tr-TR"/>
        </w:rPr>
        <w:t xml:space="preserve">%). This is not significant as to deduce that parathyroid autotransplantation induces postoperative hypocalcaemia. Besides, the lack of thyroid gland volume measurement is the limitation of this study. However the measurement of thyroid volume was not being performed routinely in our clinic up till now; so we could not achieve the </w:t>
      </w:r>
      <w:proofErr w:type="gramStart"/>
      <w:r w:rsidRPr="00730B88">
        <w:rPr>
          <w:rFonts w:ascii="Tahoma" w:eastAsia="Times New Roman" w:hAnsi="Tahoma" w:cs="Tahoma"/>
          <w:color w:val="3E3F3A"/>
          <w:sz w:val="20"/>
          <w:szCs w:val="20"/>
          <w:lang w:eastAsia="tr-TR"/>
        </w:rPr>
        <w:t>data</w:t>
      </w:r>
      <w:proofErr w:type="gramEnd"/>
      <w:r w:rsidRPr="00730B88">
        <w:rPr>
          <w:rFonts w:ascii="Tahoma" w:eastAsia="Times New Roman" w:hAnsi="Tahoma" w:cs="Tahoma"/>
          <w:color w:val="3E3F3A"/>
          <w:sz w:val="20"/>
          <w:szCs w:val="20"/>
          <w:lang w:eastAsia="tr-TR"/>
        </w:rPr>
        <w:t xml:space="preserve"> about the gland sizes preoperatively.</w:t>
      </w:r>
      <w:r w:rsidRPr="00730B88">
        <w:rPr>
          <w:rFonts w:ascii="Tahoma" w:eastAsia="Times New Roman" w:hAnsi="Tahoma" w:cs="Tahoma"/>
          <w:color w:val="3E3F3A"/>
          <w:sz w:val="20"/>
          <w:szCs w:val="20"/>
          <w:lang w:eastAsia="tr-TR"/>
        </w:rPr>
        <w:br/>
        <w:t>Its also prudent to examine thyroidectomy specimen carefully, when risk factors for inadvertent parathyroidectomy are present, with the intent of identifying normal parathyroid glands that may be suitable for autotransplantation (26). We disclosed two parathyroid glands during examination of thyroidectomy specimen in two cases and autotransplantated them after confirming histopathologically. It has been advised that histopathologic confirmation of glands before autotransplantation was performed (26).</w:t>
      </w:r>
      <w:r w:rsidRPr="00730B88">
        <w:rPr>
          <w:rFonts w:ascii="Tahoma" w:eastAsia="Times New Roman" w:hAnsi="Tahoma" w:cs="Tahoma"/>
          <w:color w:val="3E3F3A"/>
          <w:sz w:val="20"/>
          <w:szCs w:val="20"/>
          <w:lang w:eastAsia="tr-TR"/>
        </w:rPr>
        <w:br/>
        <w:t>Most important factor to perform total thyroidectomy safely is appropriate training. Many authors believe that general surgery training programs dont give adequate exposure to thyroid surgery (9,27). Lamade and coworkers reported nearly two times fold incidence of recurrent laryngeal nerve (RLN) palsy for surgeons who had completed only general surgery training program but were not specializing in thyroid surgery, compared with surgical trainees and surgeons who specialized in thyroid surgery (28). Other factors that are important in performing safe and an affective thyroid surgery include hospital operative volume and the experience of surgeon (12,29). Sosa and coworkers reported that the individual surgeons experience rather than the hospitals experience, significantly correlated with complication rates (12). In the present study major complication rates are comparable to those in previously published large series about total thyroidectomy (TT). We believe that general surgeons who have been well trained in the techniques of thyroid surgery can perform TT within minimal morbidity rates. However, this experience can be given by surgery training program in the hospitals with at least moderately high operative volume (50-150 operation per year) (30), as in our center.</w:t>
      </w:r>
      <w:r w:rsidRPr="00730B88">
        <w:rPr>
          <w:rFonts w:ascii="Tahoma" w:eastAsia="Times New Roman" w:hAnsi="Tahoma" w:cs="Tahoma"/>
          <w:color w:val="3E3F3A"/>
          <w:sz w:val="20"/>
          <w:szCs w:val="20"/>
          <w:lang w:eastAsia="tr-TR"/>
        </w:rPr>
        <w:br/>
        <w:t xml:space="preserve">As a conclusion, one of the major complications of TT is permanent hypoparathyroidism. On the other </w:t>
      </w:r>
      <w:r w:rsidRPr="00730B88">
        <w:rPr>
          <w:rFonts w:ascii="Tahoma" w:eastAsia="Times New Roman" w:hAnsi="Tahoma" w:cs="Tahoma"/>
          <w:color w:val="3E3F3A"/>
          <w:sz w:val="20"/>
          <w:szCs w:val="20"/>
          <w:lang w:eastAsia="tr-TR"/>
        </w:rPr>
        <w:lastRenderedPageBreak/>
        <w:t>hand, postoperative transient hypocalcaemia is a major surgical concern. The incidence of this problem is higher after total thyroidectomy for malignancy and completion the thyroidectomy.</w:t>
      </w:r>
    </w:p>
    <w:p w:rsidR="00730B88" w:rsidRPr="00730B88" w:rsidRDefault="00730B88" w:rsidP="00730B88">
      <w:pPr>
        <w:spacing w:after="0" w:line="326" w:lineRule="atLeast"/>
        <w:jc w:val="both"/>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Address for Correspondence:</w:t>
      </w:r>
      <w:r w:rsidRPr="00730B88">
        <w:rPr>
          <w:rFonts w:ascii="Tahoma" w:eastAsia="Times New Roman" w:hAnsi="Tahoma" w:cs="Tahoma"/>
          <w:color w:val="3E3F3A"/>
          <w:sz w:val="20"/>
          <w:szCs w:val="20"/>
          <w:lang w:eastAsia="tr-TR"/>
        </w:rPr>
        <w:t> Gökhan Söğütoğlu, University of Inonu School of Medicine, General Surgery Department, Malatya, Turkey</w:t>
      </w:r>
    </w:p>
    <w:p w:rsidR="00730B88" w:rsidRPr="00730B88" w:rsidRDefault="00730B88" w:rsidP="00730B88">
      <w:pPr>
        <w:spacing w:after="0" w:line="326" w:lineRule="atLeast"/>
        <w:jc w:val="both"/>
        <w:rPr>
          <w:rFonts w:ascii="Arial" w:eastAsia="Times New Roman" w:hAnsi="Arial" w:cs="Arial"/>
          <w:color w:val="3E3F3A"/>
          <w:sz w:val="19"/>
          <w:szCs w:val="19"/>
          <w:lang w:eastAsia="tr-TR"/>
        </w:rPr>
      </w:pPr>
      <w:r w:rsidRPr="00730B88">
        <w:rPr>
          <w:rFonts w:ascii="Tahoma" w:eastAsia="Times New Roman" w:hAnsi="Tahoma" w:cs="Tahoma"/>
          <w:color w:val="3E3F3A"/>
          <w:sz w:val="20"/>
          <w:szCs w:val="20"/>
          <w:lang w:eastAsia="tr-TR"/>
        </w:rPr>
        <w:t>Phone: +90 0422 324 18 78 E-mail: gsogutlu@inonu.edu.tr</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b/>
          <w:bCs/>
          <w:color w:val="3E3F3A"/>
          <w:sz w:val="20"/>
          <w:lang w:eastAsia="tr-TR"/>
        </w:rPr>
        <w:t>References</w:t>
      </w:r>
    </w:p>
    <w:p w:rsidR="00730B88" w:rsidRPr="00730B88" w:rsidRDefault="00730B88" w:rsidP="00730B88">
      <w:pPr>
        <w:spacing w:after="136" w:line="326" w:lineRule="atLeast"/>
        <w:rPr>
          <w:rFonts w:ascii="Arial" w:eastAsia="Times New Roman" w:hAnsi="Arial" w:cs="Arial"/>
          <w:color w:val="3E3F3A"/>
          <w:sz w:val="19"/>
          <w:szCs w:val="19"/>
          <w:lang w:eastAsia="tr-TR"/>
        </w:rPr>
      </w:pPr>
      <w:r w:rsidRPr="00730B88">
        <w:rPr>
          <w:rFonts w:ascii="Tahoma" w:eastAsia="Times New Roman" w:hAnsi="Tahoma" w:cs="Tahoma"/>
          <w:color w:val="3E3F3A"/>
          <w:sz w:val="15"/>
          <w:szCs w:val="15"/>
          <w:lang w:eastAsia="tr-TR"/>
        </w:rPr>
        <w:t>1. Bergamaschi R, Becouarn G, Ronceray J, Arnaud JP. Morbidity of thyroid surgery. Am J Surg 1998; 176: 71-5.</w:t>
      </w:r>
      <w:r w:rsidRPr="00730B88">
        <w:rPr>
          <w:rFonts w:ascii="Tahoma" w:eastAsia="Times New Roman" w:hAnsi="Tahoma" w:cs="Tahoma"/>
          <w:color w:val="3E3F3A"/>
          <w:sz w:val="15"/>
          <w:szCs w:val="15"/>
          <w:lang w:eastAsia="tr-TR"/>
        </w:rPr>
        <w:br/>
        <w:t>2. Bhattacharyya N, Fried M. Assessment of the morbidity and complications of total thyroidectomy. Arch Otolaryngol Head Neck Surg 2002; 128: 389-92.</w:t>
      </w:r>
      <w:r w:rsidRPr="00730B88">
        <w:rPr>
          <w:rFonts w:ascii="Tahoma" w:eastAsia="Times New Roman" w:hAnsi="Tahoma" w:cs="Tahoma"/>
          <w:color w:val="3E3F3A"/>
          <w:sz w:val="15"/>
          <w:szCs w:val="15"/>
          <w:lang w:eastAsia="tr-TR"/>
        </w:rPr>
        <w:br/>
        <w:t>3. Bliss RD, Gauger PG, Delbridge LW. Surgeon's approach to the thyroid gland: surgical anatomy and the importance of technique. World J Surg 2000; 24: 891-7.</w:t>
      </w:r>
      <w:r w:rsidRPr="00730B88">
        <w:rPr>
          <w:rFonts w:ascii="Tahoma" w:eastAsia="Times New Roman" w:hAnsi="Tahoma" w:cs="Tahoma"/>
          <w:color w:val="3E3F3A"/>
          <w:sz w:val="15"/>
          <w:szCs w:val="15"/>
          <w:lang w:eastAsia="tr-TR"/>
        </w:rPr>
        <w:br/>
        <w:t>4. Bron LP, O'Brien CJ. Total thyroidectomy for clinically benign disease of the thyroid gland. Br J Surg 2004; 91: 569-74.</w:t>
      </w:r>
      <w:r w:rsidRPr="00730B88">
        <w:rPr>
          <w:rFonts w:ascii="Tahoma" w:eastAsia="Times New Roman" w:hAnsi="Tahoma" w:cs="Tahoma"/>
          <w:color w:val="3E3F3A"/>
          <w:sz w:val="15"/>
          <w:szCs w:val="15"/>
          <w:lang w:eastAsia="tr-TR"/>
        </w:rPr>
        <w:br/>
        <w:t>5. Delbridge L, Guinea AI, Reeve TS. Total thyroidectomy for bilateral benign multinodular goiter: effect of changing practice. Arch Surg 1999; 134: 1389-93.</w:t>
      </w:r>
      <w:r w:rsidRPr="00730B88">
        <w:rPr>
          <w:rFonts w:ascii="Tahoma" w:eastAsia="Times New Roman" w:hAnsi="Tahoma" w:cs="Tahoma"/>
          <w:color w:val="3E3F3A"/>
          <w:sz w:val="15"/>
          <w:szCs w:val="15"/>
          <w:lang w:eastAsia="tr-TR"/>
        </w:rPr>
        <w:br/>
        <w:t>6. Demeester-Mirkine N, Hooghe L, Van Geertruyden J, De Maertelaer V. Hypocalcemia after thyroidectomy. Arch Surg 1992; 127: 854-8.</w:t>
      </w:r>
      <w:r w:rsidRPr="00730B88">
        <w:rPr>
          <w:rFonts w:ascii="Tahoma" w:eastAsia="Times New Roman" w:hAnsi="Tahoma" w:cs="Tahoma"/>
          <w:color w:val="3E3F3A"/>
          <w:sz w:val="15"/>
          <w:szCs w:val="15"/>
          <w:lang w:eastAsia="tr-TR"/>
        </w:rPr>
        <w:br/>
        <w:t>7. Dener C. Complication rates after operations for benign thyroid disease. Acta Otolaryngol 2002; 122: 679-83.</w:t>
      </w:r>
      <w:r w:rsidRPr="00730B88">
        <w:rPr>
          <w:rFonts w:ascii="Tahoma" w:eastAsia="Times New Roman" w:hAnsi="Tahoma" w:cs="Tahoma"/>
          <w:color w:val="3E3F3A"/>
          <w:sz w:val="15"/>
          <w:szCs w:val="15"/>
          <w:lang w:eastAsia="tr-TR"/>
        </w:rPr>
        <w:br/>
        <w:t>8. Hisham AN, Azlina AF, Aina EN, Sarojah A. Total thyroidectomy: the procedure of choice for multinodular goitre. Eur J Surg 2001;167:403-5.</w:t>
      </w:r>
      <w:r w:rsidRPr="00730B88">
        <w:rPr>
          <w:rFonts w:ascii="Tahoma" w:eastAsia="Times New Roman" w:hAnsi="Tahoma" w:cs="Tahoma"/>
          <w:color w:val="3E3F3A"/>
          <w:sz w:val="15"/>
          <w:szCs w:val="15"/>
          <w:lang w:eastAsia="tr-TR"/>
        </w:rPr>
        <w:br/>
        <w:t>9. Mc Henry CR. Patient volumes and complications in thyroid surgery. Br J Surg 2002; 89: 821-3.</w:t>
      </w:r>
      <w:r w:rsidRPr="00730B88">
        <w:rPr>
          <w:rFonts w:ascii="Tahoma" w:eastAsia="Times New Roman" w:hAnsi="Tahoma" w:cs="Tahoma"/>
          <w:color w:val="3E3F3A"/>
          <w:sz w:val="15"/>
          <w:szCs w:val="15"/>
          <w:lang w:eastAsia="tr-TR"/>
        </w:rPr>
        <w:br/>
        <w:t>10. Pappalardo G, Guadalaxara A, Frattaroli FM, Illomei G, Falaschi P. Total compared with subtotal thyroidectomy in benign nodular disease: personal series and review of published reports. Eur J Surg 1998; 164: 501-6.</w:t>
      </w:r>
      <w:r w:rsidRPr="00730B88">
        <w:rPr>
          <w:rFonts w:ascii="Tahoma" w:eastAsia="Times New Roman" w:hAnsi="Tahoma" w:cs="Tahoma"/>
          <w:color w:val="3E3F3A"/>
          <w:sz w:val="15"/>
          <w:szCs w:val="15"/>
          <w:lang w:eastAsia="tr-TR"/>
        </w:rPr>
        <w:br/>
        <w:t>11. Reeve TS, Curtin A, Fingleton L, Kennedy P, Mackie W, Porter T, Simons D, Townend D, Delbridge L. Can total thyroidectomy be performed as safely by general surgeons in provincial centers as by surgeons in specialized endocrine surgical units? Making the case for surgical training. Arch Surg 1994; 129: 834-6.</w:t>
      </w:r>
      <w:r w:rsidRPr="00730B88">
        <w:rPr>
          <w:rFonts w:ascii="Tahoma" w:eastAsia="Times New Roman" w:hAnsi="Tahoma" w:cs="Tahoma"/>
          <w:color w:val="3E3F3A"/>
          <w:sz w:val="15"/>
          <w:szCs w:val="15"/>
          <w:lang w:eastAsia="tr-TR"/>
        </w:rPr>
        <w:br/>
        <w:t>12. Sosa JA, Bowman HM, Tielsch JM, Powe NR, Gordon TA, Udelsman R. The importance of surgeon experience for clinical and economic outcomes from thyroidectomy. Ann Surg 1998; 228: 320-30.</w:t>
      </w:r>
      <w:r w:rsidRPr="00730B88">
        <w:rPr>
          <w:rFonts w:ascii="Tahoma" w:eastAsia="Times New Roman" w:hAnsi="Tahoma" w:cs="Tahoma"/>
          <w:color w:val="3E3F3A"/>
          <w:sz w:val="15"/>
          <w:szCs w:val="15"/>
          <w:lang w:eastAsia="tr-TR"/>
        </w:rPr>
        <w:br/>
        <w:t>13. Wilson RB, Erskine C, Crowe PJ. Hypomagnesemia and hypocalcaemia after thyroidectomy: prospective study. World J Surg 2000; 24: 722-6.</w:t>
      </w:r>
      <w:r w:rsidRPr="00730B88">
        <w:rPr>
          <w:rFonts w:ascii="Tahoma" w:eastAsia="Times New Roman" w:hAnsi="Tahoma" w:cs="Tahoma"/>
          <w:color w:val="3E3F3A"/>
          <w:sz w:val="15"/>
          <w:szCs w:val="15"/>
          <w:lang w:eastAsia="tr-TR"/>
        </w:rPr>
        <w:br/>
        <w:t>14. De Toma G, Tedesco M, Gabriele R, Campli M, Plocco M, Borghese M, Letizia C. Total thyroidectomy in the treatment of multinodular toxic goiter. G Chir 1995; 16: 373-6. </w:t>
      </w:r>
      <w:r w:rsidRPr="00730B88">
        <w:rPr>
          <w:rFonts w:ascii="Tahoma" w:eastAsia="Times New Roman" w:hAnsi="Tahoma" w:cs="Tahoma"/>
          <w:color w:val="3E3F3A"/>
          <w:sz w:val="15"/>
          <w:szCs w:val="15"/>
          <w:lang w:eastAsia="tr-TR"/>
        </w:rPr>
        <w:br/>
        <w:t>15. Kihara M, Yokomise H, Miyauchi A, Matsusaka K. Recovery of parathyroid function after total thyroidectomy. Surg Today 2000; 30: 333-8.</w:t>
      </w:r>
      <w:r w:rsidRPr="00730B88">
        <w:rPr>
          <w:rFonts w:ascii="Tahoma" w:eastAsia="Times New Roman" w:hAnsi="Tahoma" w:cs="Tahoma"/>
          <w:color w:val="3E3F3A"/>
          <w:sz w:val="15"/>
          <w:szCs w:val="15"/>
          <w:lang w:eastAsia="tr-TR"/>
        </w:rPr>
        <w:br/>
        <w:t>16. Liu Q, Djuricin G, Prinz RA. Total thyroidectomy for benign thyroid disease. Surgery 1998; 123: 2-7.</w:t>
      </w:r>
      <w:r w:rsidRPr="00730B88">
        <w:rPr>
          <w:rFonts w:ascii="Tahoma" w:eastAsia="Times New Roman" w:hAnsi="Tahoma" w:cs="Tahoma"/>
          <w:color w:val="3E3F3A"/>
          <w:sz w:val="15"/>
          <w:szCs w:val="15"/>
          <w:lang w:eastAsia="tr-TR"/>
        </w:rPr>
        <w:br/>
        <w:t>17. Olson JA Jr, DeBenedetti MK, Baumann DS, Wells SA Jr. Parathyroid autotransplantation during thyroidectomy. Results of long-term follow-up. Ann Surg 1996; 223: 472-80.</w:t>
      </w:r>
      <w:r w:rsidRPr="00730B88">
        <w:rPr>
          <w:rFonts w:ascii="Tahoma" w:eastAsia="Times New Roman" w:hAnsi="Tahoma" w:cs="Tahoma"/>
          <w:color w:val="3E3F3A"/>
          <w:sz w:val="15"/>
          <w:szCs w:val="15"/>
          <w:lang w:eastAsia="tr-TR"/>
        </w:rPr>
        <w:br/>
        <w:t>18. Rosato L, Avenia N, Bernante P, De Palma M, Gulino G, Nasi PG, Pelizzo MR, Pezzullo L. Complications of thyroid surgery: analysis of a multicentric study on 14,934 patients operated on in Italy over 5 years. World J Surg. 2004; 28: 271-6.</w:t>
      </w:r>
      <w:r w:rsidRPr="00730B88">
        <w:rPr>
          <w:rFonts w:ascii="Tahoma" w:eastAsia="Times New Roman" w:hAnsi="Tahoma" w:cs="Tahoma"/>
          <w:color w:val="3E3F3A"/>
          <w:sz w:val="15"/>
          <w:szCs w:val="15"/>
          <w:lang w:eastAsia="tr-TR"/>
        </w:rPr>
        <w:br/>
        <w:t>19. Miccoli P, Vitti P, Rago T, Iacconi P, Bartalena L, Bogazzi F, Fiore E, Valeriano R, Chiovato L, Rocchi R, Pinchera A. Surgical treatment of Graves' disease: subtotal or total thyroidectomy? Surgery 1996; 120: 1020-5.</w:t>
      </w:r>
      <w:r w:rsidRPr="00730B88">
        <w:rPr>
          <w:rFonts w:ascii="Tahoma" w:eastAsia="Times New Roman" w:hAnsi="Tahoma" w:cs="Tahoma"/>
          <w:color w:val="3E3F3A"/>
          <w:sz w:val="15"/>
          <w:szCs w:val="15"/>
          <w:lang w:eastAsia="tr-TR"/>
        </w:rPr>
        <w:br/>
        <w:t xml:space="preserve">20. Mishra A, Agarwal G, Agarwal A, Mishra SK. Safety and efficacy of total thyroidectomy in hands of endocrine surgery </w:t>
      </w:r>
      <w:proofErr w:type="gramStart"/>
      <w:r w:rsidRPr="00730B88">
        <w:rPr>
          <w:rFonts w:ascii="Tahoma" w:eastAsia="Times New Roman" w:hAnsi="Tahoma" w:cs="Tahoma"/>
          <w:color w:val="3E3F3A"/>
          <w:sz w:val="15"/>
          <w:szCs w:val="15"/>
          <w:lang w:eastAsia="tr-TR"/>
        </w:rPr>
        <w:t>trainees.Am</w:t>
      </w:r>
      <w:proofErr w:type="gramEnd"/>
      <w:r w:rsidRPr="00730B88">
        <w:rPr>
          <w:rFonts w:ascii="Tahoma" w:eastAsia="Times New Roman" w:hAnsi="Tahoma" w:cs="Tahoma"/>
          <w:color w:val="3E3F3A"/>
          <w:sz w:val="15"/>
          <w:szCs w:val="15"/>
          <w:lang w:eastAsia="tr-TR"/>
        </w:rPr>
        <w:t xml:space="preserve"> J Surg 1999; 178: 377-80.</w:t>
      </w:r>
      <w:r w:rsidRPr="00730B88">
        <w:rPr>
          <w:rFonts w:ascii="Tahoma" w:eastAsia="Times New Roman" w:hAnsi="Tahoma" w:cs="Tahoma"/>
          <w:color w:val="3E3F3A"/>
          <w:sz w:val="15"/>
          <w:szCs w:val="15"/>
          <w:lang w:eastAsia="tr-TR"/>
        </w:rPr>
        <w:br/>
      </w:r>
      <w:r w:rsidRPr="00730B88">
        <w:rPr>
          <w:rFonts w:ascii="Tahoma" w:eastAsia="Times New Roman" w:hAnsi="Tahoma" w:cs="Tahoma"/>
          <w:color w:val="3E3F3A"/>
          <w:sz w:val="15"/>
          <w:szCs w:val="15"/>
          <w:lang w:eastAsia="tr-TR"/>
        </w:rPr>
        <w:lastRenderedPageBreak/>
        <w:t>21. Pattou F, Combemale F, Fabre S, Carnaille B, Decoulx M, Wemeau JL, Racadot A, Proye C. Hypocalcaemia following thyroid surgery: incidence and prediction of outcome. World J Surg 1998; 22: 718-24.</w:t>
      </w:r>
      <w:r w:rsidRPr="00730B88">
        <w:rPr>
          <w:rFonts w:ascii="Tahoma" w:eastAsia="Times New Roman" w:hAnsi="Tahoma" w:cs="Tahoma"/>
          <w:color w:val="3E3F3A"/>
          <w:sz w:val="15"/>
          <w:szCs w:val="15"/>
          <w:lang w:eastAsia="tr-TR"/>
        </w:rPr>
        <w:br/>
        <w:t>22. Sasson AR, Pingpank JF Jr, Wetherington RW, Hanlon AL, Ridge JA. Incidental parathyroidectomy during thyroid surgery does not cause transient symptomatic hypocalcaemia. Arch Otolaryngol Head Neck Surg 2001; 127: 304-8.</w:t>
      </w:r>
      <w:r w:rsidRPr="00730B88">
        <w:rPr>
          <w:rFonts w:ascii="Tahoma" w:eastAsia="Times New Roman" w:hAnsi="Tahoma" w:cs="Tahoma"/>
          <w:color w:val="3E3F3A"/>
          <w:sz w:val="15"/>
          <w:szCs w:val="15"/>
          <w:lang w:eastAsia="tr-TR"/>
        </w:rPr>
        <w:br/>
        <w:t>23. See AC, Soo KC. Hypocalcaemia following thyroidectomy for thyrotoxicosis. Br J Surg 1997; 84: 95-7. </w:t>
      </w:r>
      <w:r w:rsidRPr="00730B88">
        <w:rPr>
          <w:rFonts w:ascii="Tahoma" w:eastAsia="Times New Roman" w:hAnsi="Tahoma" w:cs="Tahoma"/>
          <w:color w:val="3E3F3A"/>
          <w:sz w:val="15"/>
          <w:szCs w:val="15"/>
          <w:lang w:eastAsia="tr-TR"/>
        </w:rPr>
        <w:br/>
        <w:t>24. Yamashita H, Noguchi S, Tahara K, Watanabe S, Uchino S, Kawamoto H, Toda M, Murakami N. Postoperative tetany in patients with Graves' disease: a risk factor analysis. Clin Endocrinol (Oxf) 1997; 47: 71-7.</w:t>
      </w:r>
      <w:r w:rsidRPr="00730B88">
        <w:rPr>
          <w:rFonts w:ascii="Tahoma" w:eastAsia="Times New Roman" w:hAnsi="Tahoma" w:cs="Tahoma"/>
          <w:color w:val="3E3F3A"/>
          <w:sz w:val="15"/>
          <w:szCs w:val="15"/>
          <w:lang w:eastAsia="tr-TR"/>
        </w:rPr>
        <w:br/>
        <w:t>25. Zedenius J, Wadstrom C, Delbridge L. Routine autotransplantation of at least one parathyroid gland during total thyroidectomy may reduce permanent hypoparathyroidism to zero. Aust N Z J Surg 1999; 69: 794-7.</w:t>
      </w:r>
      <w:r w:rsidRPr="00730B88">
        <w:rPr>
          <w:rFonts w:ascii="Tahoma" w:eastAsia="Times New Roman" w:hAnsi="Tahoma" w:cs="Tahoma"/>
          <w:color w:val="3E3F3A"/>
          <w:sz w:val="15"/>
          <w:szCs w:val="15"/>
          <w:lang w:eastAsia="tr-TR"/>
        </w:rPr>
        <w:br/>
        <w:t>26. Lin DT, Patel SG, Shaha AR, Singh B, Shah JP. Incidence of inadvertent parathyroid removal during thyroidectomy. Laryngoscope 2002; 112: 608-11.</w:t>
      </w:r>
      <w:r w:rsidRPr="00730B88">
        <w:rPr>
          <w:rFonts w:ascii="Tahoma" w:eastAsia="Times New Roman" w:hAnsi="Tahoma" w:cs="Tahoma"/>
          <w:color w:val="3E3F3A"/>
          <w:sz w:val="15"/>
          <w:szCs w:val="15"/>
          <w:lang w:eastAsia="tr-TR"/>
        </w:rPr>
        <w:br/>
        <w:t>27. Harness JK, Organ CH Jr, Thompson NW. Operative experience of U.S. general surgery residents in thyroid and parathyroid disease. Surgery 1995; 118: 1063-70.</w:t>
      </w:r>
      <w:r w:rsidRPr="00730B88">
        <w:rPr>
          <w:rFonts w:ascii="Tahoma" w:eastAsia="Times New Roman" w:hAnsi="Tahoma" w:cs="Tahoma"/>
          <w:color w:val="3E3F3A"/>
          <w:sz w:val="15"/>
          <w:szCs w:val="15"/>
          <w:lang w:eastAsia="tr-TR"/>
        </w:rPr>
        <w:br/>
        <w:t>28. Lamade W, Renz K, Willeke F, Klar E, Herfarth C. Effect of training on the incidence of nerve damage in thyroid surgery. Br J Surg 1999; 86: 388-91.</w:t>
      </w:r>
      <w:r w:rsidRPr="00730B88">
        <w:rPr>
          <w:rFonts w:ascii="Tahoma" w:eastAsia="Times New Roman" w:hAnsi="Tahoma" w:cs="Tahoma"/>
          <w:color w:val="3E3F3A"/>
          <w:sz w:val="15"/>
          <w:szCs w:val="15"/>
          <w:lang w:eastAsia="tr-TR"/>
        </w:rPr>
        <w:br/>
        <w:t>29. Kotan C, Kosem M, Algun E, Ayakta H, Sonmez R, Soylemez O. Influence of the refinement of surgical technique and surgeon's experience on the rate of complications after total thyroidectomy for benign thyroid disease. Acta Chir Belg 2003; 103: 278-81.</w:t>
      </w:r>
      <w:r w:rsidRPr="00730B88">
        <w:rPr>
          <w:rFonts w:ascii="Tahoma" w:eastAsia="Times New Roman" w:hAnsi="Tahoma" w:cs="Tahoma"/>
          <w:color w:val="3E3F3A"/>
          <w:sz w:val="15"/>
          <w:szCs w:val="15"/>
          <w:lang w:eastAsia="tr-TR"/>
        </w:rPr>
        <w:br/>
        <w:t>30. Thomusch O, Machens A, Sekulla C, et al. Multivariate analysis of risk factors for postoperative complications in benign goiter surgery: prospective multicenter study in Germany. World J Surg 2000; 24: 1335-41.</w:t>
      </w:r>
    </w:p>
    <w:p w:rsidR="00CA7362" w:rsidRPr="00730B88" w:rsidRDefault="00CA7362" w:rsidP="00730B88"/>
    <w:sectPr w:rsidR="00CA7362" w:rsidRPr="00730B88" w:rsidSect="00CA73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A2"/>
    <w:family w:val="swiss"/>
    <w:pitch w:val="variable"/>
    <w:sig w:usb0="E0002AFF" w:usb1="C0007843"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08"/>
  <w:hyphenationZone w:val="425"/>
  <w:characterSpacingControl w:val="doNotCompress"/>
  <w:compat/>
  <w:rsids>
    <w:rsidRoot w:val="00730B88"/>
    <w:rsid w:val="00000062"/>
    <w:rsid w:val="0000108B"/>
    <w:rsid w:val="0000149A"/>
    <w:rsid w:val="0000237D"/>
    <w:rsid w:val="00004CF5"/>
    <w:rsid w:val="000058E1"/>
    <w:rsid w:val="00012AF9"/>
    <w:rsid w:val="0001727C"/>
    <w:rsid w:val="000206F6"/>
    <w:rsid w:val="00021C0B"/>
    <w:rsid w:val="000233A6"/>
    <w:rsid w:val="00025832"/>
    <w:rsid w:val="00027847"/>
    <w:rsid w:val="00027E5E"/>
    <w:rsid w:val="00033C79"/>
    <w:rsid w:val="00033D3A"/>
    <w:rsid w:val="00034260"/>
    <w:rsid w:val="00034A33"/>
    <w:rsid w:val="00040FB3"/>
    <w:rsid w:val="000429D8"/>
    <w:rsid w:val="00042CC5"/>
    <w:rsid w:val="00043BD6"/>
    <w:rsid w:val="0004557F"/>
    <w:rsid w:val="00046669"/>
    <w:rsid w:val="000476EE"/>
    <w:rsid w:val="0005018B"/>
    <w:rsid w:val="00051967"/>
    <w:rsid w:val="00056C3E"/>
    <w:rsid w:val="00060EC5"/>
    <w:rsid w:val="000614FA"/>
    <w:rsid w:val="00061CE0"/>
    <w:rsid w:val="00061F36"/>
    <w:rsid w:val="0006514F"/>
    <w:rsid w:val="0006675D"/>
    <w:rsid w:val="000670D6"/>
    <w:rsid w:val="000713D6"/>
    <w:rsid w:val="00071F4B"/>
    <w:rsid w:val="00073784"/>
    <w:rsid w:val="000745B1"/>
    <w:rsid w:val="000748A1"/>
    <w:rsid w:val="00074A30"/>
    <w:rsid w:val="0007689C"/>
    <w:rsid w:val="00080172"/>
    <w:rsid w:val="00081059"/>
    <w:rsid w:val="00081250"/>
    <w:rsid w:val="0008382C"/>
    <w:rsid w:val="0008452D"/>
    <w:rsid w:val="00085D0A"/>
    <w:rsid w:val="00086DAA"/>
    <w:rsid w:val="0009049C"/>
    <w:rsid w:val="0009267D"/>
    <w:rsid w:val="00094FA7"/>
    <w:rsid w:val="00095907"/>
    <w:rsid w:val="00095A9E"/>
    <w:rsid w:val="00095E51"/>
    <w:rsid w:val="00096248"/>
    <w:rsid w:val="00096D56"/>
    <w:rsid w:val="000A04D4"/>
    <w:rsid w:val="000A0C4F"/>
    <w:rsid w:val="000A160A"/>
    <w:rsid w:val="000A1822"/>
    <w:rsid w:val="000A1869"/>
    <w:rsid w:val="000A3BAF"/>
    <w:rsid w:val="000A41DC"/>
    <w:rsid w:val="000A5B4F"/>
    <w:rsid w:val="000A6E8E"/>
    <w:rsid w:val="000B1D7C"/>
    <w:rsid w:val="000B3175"/>
    <w:rsid w:val="000B4216"/>
    <w:rsid w:val="000B49E9"/>
    <w:rsid w:val="000B6883"/>
    <w:rsid w:val="000B709C"/>
    <w:rsid w:val="000C0A41"/>
    <w:rsid w:val="000C5A52"/>
    <w:rsid w:val="000C7D84"/>
    <w:rsid w:val="000D0C2D"/>
    <w:rsid w:val="000D1A82"/>
    <w:rsid w:val="000D2797"/>
    <w:rsid w:val="000D33A8"/>
    <w:rsid w:val="000D488D"/>
    <w:rsid w:val="000D672D"/>
    <w:rsid w:val="000D6B63"/>
    <w:rsid w:val="000D6E2B"/>
    <w:rsid w:val="000D7DCF"/>
    <w:rsid w:val="000E00D2"/>
    <w:rsid w:val="000E0DEE"/>
    <w:rsid w:val="000E312C"/>
    <w:rsid w:val="000E34E3"/>
    <w:rsid w:val="000E3539"/>
    <w:rsid w:val="000E5861"/>
    <w:rsid w:val="000F0A2A"/>
    <w:rsid w:val="000F4304"/>
    <w:rsid w:val="000F46FD"/>
    <w:rsid w:val="000F609B"/>
    <w:rsid w:val="000F71B8"/>
    <w:rsid w:val="001043BB"/>
    <w:rsid w:val="00105C7D"/>
    <w:rsid w:val="001105C3"/>
    <w:rsid w:val="001117CC"/>
    <w:rsid w:val="001124F3"/>
    <w:rsid w:val="001143D3"/>
    <w:rsid w:val="00115812"/>
    <w:rsid w:val="00115E6A"/>
    <w:rsid w:val="001205C5"/>
    <w:rsid w:val="001207FF"/>
    <w:rsid w:val="001209E8"/>
    <w:rsid w:val="001216C8"/>
    <w:rsid w:val="00126745"/>
    <w:rsid w:val="00127212"/>
    <w:rsid w:val="0013188C"/>
    <w:rsid w:val="00133D75"/>
    <w:rsid w:val="00133EA6"/>
    <w:rsid w:val="001373E0"/>
    <w:rsid w:val="0013776C"/>
    <w:rsid w:val="00141D3D"/>
    <w:rsid w:val="0014351C"/>
    <w:rsid w:val="00143FFC"/>
    <w:rsid w:val="00145AEA"/>
    <w:rsid w:val="001469EF"/>
    <w:rsid w:val="0014743C"/>
    <w:rsid w:val="00151099"/>
    <w:rsid w:val="00152131"/>
    <w:rsid w:val="001528BE"/>
    <w:rsid w:val="0015536B"/>
    <w:rsid w:val="0015570B"/>
    <w:rsid w:val="00155B60"/>
    <w:rsid w:val="00156ACD"/>
    <w:rsid w:val="0016117C"/>
    <w:rsid w:val="001622FF"/>
    <w:rsid w:val="001649D5"/>
    <w:rsid w:val="001663CB"/>
    <w:rsid w:val="00170C17"/>
    <w:rsid w:val="0017299E"/>
    <w:rsid w:val="00173479"/>
    <w:rsid w:val="001734E9"/>
    <w:rsid w:val="0017587B"/>
    <w:rsid w:val="001802D4"/>
    <w:rsid w:val="00182EBD"/>
    <w:rsid w:val="001841A8"/>
    <w:rsid w:val="00184620"/>
    <w:rsid w:val="0018506D"/>
    <w:rsid w:val="00185C8A"/>
    <w:rsid w:val="001A0B69"/>
    <w:rsid w:val="001A18A3"/>
    <w:rsid w:val="001A269B"/>
    <w:rsid w:val="001A46B8"/>
    <w:rsid w:val="001A4FD5"/>
    <w:rsid w:val="001A58A5"/>
    <w:rsid w:val="001A78E2"/>
    <w:rsid w:val="001B23CD"/>
    <w:rsid w:val="001B2E67"/>
    <w:rsid w:val="001B4B51"/>
    <w:rsid w:val="001B647E"/>
    <w:rsid w:val="001B6547"/>
    <w:rsid w:val="001B7B4F"/>
    <w:rsid w:val="001C0871"/>
    <w:rsid w:val="001C11AB"/>
    <w:rsid w:val="001C6763"/>
    <w:rsid w:val="001C7EE4"/>
    <w:rsid w:val="001D1309"/>
    <w:rsid w:val="001D2952"/>
    <w:rsid w:val="001D39B3"/>
    <w:rsid w:val="001D41F8"/>
    <w:rsid w:val="001D4AA1"/>
    <w:rsid w:val="001D638B"/>
    <w:rsid w:val="001D6ADD"/>
    <w:rsid w:val="001D7E5E"/>
    <w:rsid w:val="001E05B0"/>
    <w:rsid w:val="001E1A10"/>
    <w:rsid w:val="001E330F"/>
    <w:rsid w:val="001E5B3C"/>
    <w:rsid w:val="001E5E0A"/>
    <w:rsid w:val="001E7E52"/>
    <w:rsid w:val="001F1078"/>
    <w:rsid w:val="001F10CF"/>
    <w:rsid w:val="001F35FF"/>
    <w:rsid w:val="001F373A"/>
    <w:rsid w:val="001F5238"/>
    <w:rsid w:val="001F7826"/>
    <w:rsid w:val="00201E7F"/>
    <w:rsid w:val="00203E87"/>
    <w:rsid w:val="002054CE"/>
    <w:rsid w:val="00210F4B"/>
    <w:rsid w:val="00212DD1"/>
    <w:rsid w:val="00214F1A"/>
    <w:rsid w:val="00215222"/>
    <w:rsid w:val="002172DA"/>
    <w:rsid w:val="00217AA5"/>
    <w:rsid w:val="002213C0"/>
    <w:rsid w:val="00221926"/>
    <w:rsid w:val="002258D4"/>
    <w:rsid w:val="002266C0"/>
    <w:rsid w:val="002276A6"/>
    <w:rsid w:val="0022783C"/>
    <w:rsid w:val="0023542B"/>
    <w:rsid w:val="002365AA"/>
    <w:rsid w:val="00236645"/>
    <w:rsid w:val="00237256"/>
    <w:rsid w:val="00243793"/>
    <w:rsid w:val="00243F05"/>
    <w:rsid w:val="00243F17"/>
    <w:rsid w:val="00244102"/>
    <w:rsid w:val="002459D5"/>
    <w:rsid w:val="002462CE"/>
    <w:rsid w:val="00251FB1"/>
    <w:rsid w:val="00252AB8"/>
    <w:rsid w:val="002540BF"/>
    <w:rsid w:val="00255CE2"/>
    <w:rsid w:val="00260BD1"/>
    <w:rsid w:val="00260E65"/>
    <w:rsid w:val="00261476"/>
    <w:rsid w:val="0026382F"/>
    <w:rsid w:val="00263B17"/>
    <w:rsid w:val="00264836"/>
    <w:rsid w:val="00265974"/>
    <w:rsid w:val="002663D3"/>
    <w:rsid w:val="0026745D"/>
    <w:rsid w:val="002701E5"/>
    <w:rsid w:val="00273191"/>
    <w:rsid w:val="00273C8E"/>
    <w:rsid w:val="0027556B"/>
    <w:rsid w:val="00275C0F"/>
    <w:rsid w:val="002768D4"/>
    <w:rsid w:val="00280770"/>
    <w:rsid w:val="0028204D"/>
    <w:rsid w:val="002827FE"/>
    <w:rsid w:val="00282E95"/>
    <w:rsid w:val="00285A1F"/>
    <w:rsid w:val="0028773F"/>
    <w:rsid w:val="00287ED3"/>
    <w:rsid w:val="00290E8D"/>
    <w:rsid w:val="00291C31"/>
    <w:rsid w:val="002966FB"/>
    <w:rsid w:val="0029792A"/>
    <w:rsid w:val="002A03BD"/>
    <w:rsid w:val="002A1F76"/>
    <w:rsid w:val="002A24B2"/>
    <w:rsid w:val="002A4B1C"/>
    <w:rsid w:val="002A68D5"/>
    <w:rsid w:val="002B00D5"/>
    <w:rsid w:val="002B010B"/>
    <w:rsid w:val="002B0D15"/>
    <w:rsid w:val="002B1D0F"/>
    <w:rsid w:val="002B1E65"/>
    <w:rsid w:val="002B2AA8"/>
    <w:rsid w:val="002B2C70"/>
    <w:rsid w:val="002B36CC"/>
    <w:rsid w:val="002B48A6"/>
    <w:rsid w:val="002B5BBA"/>
    <w:rsid w:val="002B6C44"/>
    <w:rsid w:val="002C0567"/>
    <w:rsid w:val="002C212A"/>
    <w:rsid w:val="002C2A41"/>
    <w:rsid w:val="002C3E9E"/>
    <w:rsid w:val="002C63FC"/>
    <w:rsid w:val="002C7ECB"/>
    <w:rsid w:val="002D03B8"/>
    <w:rsid w:val="002D08DA"/>
    <w:rsid w:val="002D371F"/>
    <w:rsid w:val="002D3C1E"/>
    <w:rsid w:val="002D4C9B"/>
    <w:rsid w:val="002D7C10"/>
    <w:rsid w:val="002E1748"/>
    <w:rsid w:val="002E4C57"/>
    <w:rsid w:val="002E6399"/>
    <w:rsid w:val="002E72C5"/>
    <w:rsid w:val="002F2384"/>
    <w:rsid w:val="002F43B9"/>
    <w:rsid w:val="002F596F"/>
    <w:rsid w:val="002F6076"/>
    <w:rsid w:val="002F6B28"/>
    <w:rsid w:val="002F7CC6"/>
    <w:rsid w:val="002F7D08"/>
    <w:rsid w:val="00300592"/>
    <w:rsid w:val="00302E35"/>
    <w:rsid w:val="00304AB6"/>
    <w:rsid w:val="00304B02"/>
    <w:rsid w:val="00307A54"/>
    <w:rsid w:val="00311FBF"/>
    <w:rsid w:val="00312C4C"/>
    <w:rsid w:val="00314246"/>
    <w:rsid w:val="00314FCA"/>
    <w:rsid w:val="0031711A"/>
    <w:rsid w:val="00326219"/>
    <w:rsid w:val="003270B0"/>
    <w:rsid w:val="00334226"/>
    <w:rsid w:val="003361D2"/>
    <w:rsid w:val="0033651D"/>
    <w:rsid w:val="003366CA"/>
    <w:rsid w:val="003367ED"/>
    <w:rsid w:val="00342567"/>
    <w:rsid w:val="00342F43"/>
    <w:rsid w:val="00346857"/>
    <w:rsid w:val="00346F09"/>
    <w:rsid w:val="003503A2"/>
    <w:rsid w:val="003505E4"/>
    <w:rsid w:val="0035164B"/>
    <w:rsid w:val="00352251"/>
    <w:rsid w:val="003524B9"/>
    <w:rsid w:val="0035299A"/>
    <w:rsid w:val="00353883"/>
    <w:rsid w:val="00354085"/>
    <w:rsid w:val="00354B6D"/>
    <w:rsid w:val="00355439"/>
    <w:rsid w:val="00360801"/>
    <w:rsid w:val="0036126B"/>
    <w:rsid w:val="00361EC6"/>
    <w:rsid w:val="003635F9"/>
    <w:rsid w:val="00363C80"/>
    <w:rsid w:val="00366482"/>
    <w:rsid w:val="00367477"/>
    <w:rsid w:val="00370A2F"/>
    <w:rsid w:val="00371C2A"/>
    <w:rsid w:val="00372211"/>
    <w:rsid w:val="00375D3B"/>
    <w:rsid w:val="00376B28"/>
    <w:rsid w:val="003773AB"/>
    <w:rsid w:val="0037774E"/>
    <w:rsid w:val="00380832"/>
    <w:rsid w:val="00381B8D"/>
    <w:rsid w:val="00381C1B"/>
    <w:rsid w:val="00384B52"/>
    <w:rsid w:val="0038530A"/>
    <w:rsid w:val="00387CD7"/>
    <w:rsid w:val="0039186C"/>
    <w:rsid w:val="00391D96"/>
    <w:rsid w:val="003932DA"/>
    <w:rsid w:val="0039400E"/>
    <w:rsid w:val="00394D55"/>
    <w:rsid w:val="00395454"/>
    <w:rsid w:val="00396612"/>
    <w:rsid w:val="003A109C"/>
    <w:rsid w:val="003A3A5B"/>
    <w:rsid w:val="003A59AA"/>
    <w:rsid w:val="003A6933"/>
    <w:rsid w:val="003A693A"/>
    <w:rsid w:val="003A706F"/>
    <w:rsid w:val="003A751C"/>
    <w:rsid w:val="003B199F"/>
    <w:rsid w:val="003C11AE"/>
    <w:rsid w:val="003C2435"/>
    <w:rsid w:val="003C32FF"/>
    <w:rsid w:val="003C6A3C"/>
    <w:rsid w:val="003D0D70"/>
    <w:rsid w:val="003D5381"/>
    <w:rsid w:val="003D5824"/>
    <w:rsid w:val="003D67B7"/>
    <w:rsid w:val="003E1FDF"/>
    <w:rsid w:val="003E3927"/>
    <w:rsid w:val="003E3F3C"/>
    <w:rsid w:val="003E4626"/>
    <w:rsid w:val="003E59DC"/>
    <w:rsid w:val="003E698B"/>
    <w:rsid w:val="003F2F6C"/>
    <w:rsid w:val="003F3BCE"/>
    <w:rsid w:val="003F4AE3"/>
    <w:rsid w:val="003F5CB0"/>
    <w:rsid w:val="003F640F"/>
    <w:rsid w:val="004017F4"/>
    <w:rsid w:val="0040437E"/>
    <w:rsid w:val="00404A97"/>
    <w:rsid w:val="00405A7A"/>
    <w:rsid w:val="00406543"/>
    <w:rsid w:val="00410EB3"/>
    <w:rsid w:val="004123DE"/>
    <w:rsid w:val="004132D0"/>
    <w:rsid w:val="00414050"/>
    <w:rsid w:val="00414BC4"/>
    <w:rsid w:val="0041594C"/>
    <w:rsid w:val="004176B2"/>
    <w:rsid w:val="004206BF"/>
    <w:rsid w:val="0042108A"/>
    <w:rsid w:val="00421477"/>
    <w:rsid w:val="004235C6"/>
    <w:rsid w:val="00424D27"/>
    <w:rsid w:val="00427847"/>
    <w:rsid w:val="00432B01"/>
    <w:rsid w:val="00433432"/>
    <w:rsid w:val="00434680"/>
    <w:rsid w:val="00435017"/>
    <w:rsid w:val="0043558A"/>
    <w:rsid w:val="00440174"/>
    <w:rsid w:val="00440550"/>
    <w:rsid w:val="00441FDA"/>
    <w:rsid w:val="004429DE"/>
    <w:rsid w:val="00443749"/>
    <w:rsid w:val="00446B11"/>
    <w:rsid w:val="00447213"/>
    <w:rsid w:val="00452570"/>
    <w:rsid w:val="00452B34"/>
    <w:rsid w:val="0045377B"/>
    <w:rsid w:val="00460231"/>
    <w:rsid w:val="004604B4"/>
    <w:rsid w:val="004621CB"/>
    <w:rsid w:val="004626A3"/>
    <w:rsid w:val="0046628B"/>
    <w:rsid w:val="0046654F"/>
    <w:rsid w:val="0047271F"/>
    <w:rsid w:val="00473006"/>
    <w:rsid w:val="00473F68"/>
    <w:rsid w:val="00480811"/>
    <w:rsid w:val="0048253D"/>
    <w:rsid w:val="0048309D"/>
    <w:rsid w:val="00484317"/>
    <w:rsid w:val="00490A7F"/>
    <w:rsid w:val="004916D6"/>
    <w:rsid w:val="00496390"/>
    <w:rsid w:val="00496A91"/>
    <w:rsid w:val="004A3849"/>
    <w:rsid w:val="004A49F1"/>
    <w:rsid w:val="004A5C08"/>
    <w:rsid w:val="004A7AB4"/>
    <w:rsid w:val="004B07B4"/>
    <w:rsid w:val="004B1C94"/>
    <w:rsid w:val="004B2055"/>
    <w:rsid w:val="004B2A06"/>
    <w:rsid w:val="004B30A2"/>
    <w:rsid w:val="004B4B08"/>
    <w:rsid w:val="004B74A4"/>
    <w:rsid w:val="004B75FD"/>
    <w:rsid w:val="004C1646"/>
    <w:rsid w:val="004C20FE"/>
    <w:rsid w:val="004C4A34"/>
    <w:rsid w:val="004D0C9B"/>
    <w:rsid w:val="004D0F6B"/>
    <w:rsid w:val="004D48A5"/>
    <w:rsid w:val="004D4A24"/>
    <w:rsid w:val="004D66F1"/>
    <w:rsid w:val="004D7DA7"/>
    <w:rsid w:val="004E2972"/>
    <w:rsid w:val="004E6A1E"/>
    <w:rsid w:val="004F14C3"/>
    <w:rsid w:val="004F19E3"/>
    <w:rsid w:val="004F2E48"/>
    <w:rsid w:val="004F3BDB"/>
    <w:rsid w:val="004F50CE"/>
    <w:rsid w:val="004F5CEF"/>
    <w:rsid w:val="004F7548"/>
    <w:rsid w:val="004F75D5"/>
    <w:rsid w:val="004F7644"/>
    <w:rsid w:val="00500827"/>
    <w:rsid w:val="00502062"/>
    <w:rsid w:val="00504C19"/>
    <w:rsid w:val="005066C7"/>
    <w:rsid w:val="00510538"/>
    <w:rsid w:val="005106EB"/>
    <w:rsid w:val="00514DA3"/>
    <w:rsid w:val="005151D0"/>
    <w:rsid w:val="00516BB1"/>
    <w:rsid w:val="00522562"/>
    <w:rsid w:val="00524A5C"/>
    <w:rsid w:val="00524D0B"/>
    <w:rsid w:val="005257CF"/>
    <w:rsid w:val="00526CF0"/>
    <w:rsid w:val="005276B8"/>
    <w:rsid w:val="005303A5"/>
    <w:rsid w:val="00530E09"/>
    <w:rsid w:val="005311A0"/>
    <w:rsid w:val="00531CF7"/>
    <w:rsid w:val="005439B5"/>
    <w:rsid w:val="00547993"/>
    <w:rsid w:val="005502FC"/>
    <w:rsid w:val="0055037A"/>
    <w:rsid w:val="00550E0A"/>
    <w:rsid w:val="0055188C"/>
    <w:rsid w:val="00551D41"/>
    <w:rsid w:val="00554248"/>
    <w:rsid w:val="00554488"/>
    <w:rsid w:val="00556D1C"/>
    <w:rsid w:val="0056372D"/>
    <w:rsid w:val="00564685"/>
    <w:rsid w:val="005651AC"/>
    <w:rsid w:val="0056643C"/>
    <w:rsid w:val="00566554"/>
    <w:rsid w:val="00566B6C"/>
    <w:rsid w:val="00570186"/>
    <w:rsid w:val="005739EA"/>
    <w:rsid w:val="00575BE3"/>
    <w:rsid w:val="005761EB"/>
    <w:rsid w:val="005767C5"/>
    <w:rsid w:val="0057716F"/>
    <w:rsid w:val="00580E04"/>
    <w:rsid w:val="00581A1B"/>
    <w:rsid w:val="00582A87"/>
    <w:rsid w:val="00584B77"/>
    <w:rsid w:val="00585007"/>
    <w:rsid w:val="00587856"/>
    <w:rsid w:val="00590B93"/>
    <w:rsid w:val="00590F85"/>
    <w:rsid w:val="00593363"/>
    <w:rsid w:val="00593E88"/>
    <w:rsid w:val="0059686A"/>
    <w:rsid w:val="00596FFF"/>
    <w:rsid w:val="005A6884"/>
    <w:rsid w:val="005B01AF"/>
    <w:rsid w:val="005B1363"/>
    <w:rsid w:val="005B194F"/>
    <w:rsid w:val="005B1952"/>
    <w:rsid w:val="005B2677"/>
    <w:rsid w:val="005B69AF"/>
    <w:rsid w:val="005B7CF0"/>
    <w:rsid w:val="005C058E"/>
    <w:rsid w:val="005C1C3E"/>
    <w:rsid w:val="005C27D8"/>
    <w:rsid w:val="005C3146"/>
    <w:rsid w:val="005C4620"/>
    <w:rsid w:val="005C7488"/>
    <w:rsid w:val="005D0984"/>
    <w:rsid w:val="005D15B7"/>
    <w:rsid w:val="005D17F8"/>
    <w:rsid w:val="005D4217"/>
    <w:rsid w:val="005D6344"/>
    <w:rsid w:val="005D72AB"/>
    <w:rsid w:val="005E129F"/>
    <w:rsid w:val="005E13FC"/>
    <w:rsid w:val="005E196D"/>
    <w:rsid w:val="005E2A05"/>
    <w:rsid w:val="005E2E4E"/>
    <w:rsid w:val="005E3358"/>
    <w:rsid w:val="005E34BD"/>
    <w:rsid w:val="005E362B"/>
    <w:rsid w:val="005E37B0"/>
    <w:rsid w:val="005E3B68"/>
    <w:rsid w:val="005E3E38"/>
    <w:rsid w:val="005E4A33"/>
    <w:rsid w:val="005F03BF"/>
    <w:rsid w:val="005F28A2"/>
    <w:rsid w:val="005F66C2"/>
    <w:rsid w:val="00600111"/>
    <w:rsid w:val="0060439D"/>
    <w:rsid w:val="006062F6"/>
    <w:rsid w:val="006128B2"/>
    <w:rsid w:val="006135A5"/>
    <w:rsid w:val="00614157"/>
    <w:rsid w:val="00617611"/>
    <w:rsid w:val="00624650"/>
    <w:rsid w:val="0062498B"/>
    <w:rsid w:val="00624AB3"/>
    <w:rsid w:val="006259A0"/>
    <w:rsid w:val="00626802"/>
    <w:rsid w:val="00633176"/>
    <w:rsid w:val="00633452"/>
    <w:rsid w:val="0064064B"/>
    <w:rsid w:val="00644B65"/>
    <w:rsid w:val="00645453"/>
    <w:rsid w:val="00650249"/>
    <w:rsid w:val="006518C4"/>
    <w:rsid w:val="00651957"/>
    <w:rsid w:val="00651AA9"/>
    <w:rsid w:val="00653741"/>
    <w:rsid w:val="006543D7"/>
    <w:rsid w:val="00654768"/>
    <w:rsid w:val="00654FE9"/>
    <w:rsid w:val="00661518"/>
    <w:rsid w:val="006646B6"/>
    <w:rsid w:val="0066669A"/>
    <w:rsid w:val="00674269"/>
    <w:rsid w:val="00677E7C"/>
    <w:rsid w:val="0068138B"/>
    <w:rsid w:val="00681EE7"/>
    <w:rsid w:val="00684E64"/>
    <w:rsid w:val="00685331"/>
    <w:rsid w:val="00692EA4"/>
    <w:rsid w:val="00694D96"/>
    <w:rsid w:val="00696E99"/>
    <w:rsid w:val="006971BE"/>
    <w:rsid w:val="00697D94"/>
    <w:rsid w:val="006A45B0"/>
    <w:rsid w:val="006A52EC"/>
    <w:rsid w:val="006A602F"/>
    <w:rsid w:val="006A6C7F"/>
    <w:rsid w:val="006B1EE2"/>
    <w:rsid w:val="006B34B7"/>
    <w:rsid w:val="006B64D9"/>
    <w:rsid w:val="006B6CD6"/>
    <w:rsid w:val="006B782A"/>
    <w:rsid w:val="006B7CD5"/>
    <w:rsid w:val="006C0965"/>
    <w:rsid w:val="006C1573"/>
    <w:rsid w:val="006C30FB"/>
    <w:rsid w:val="006C4BC5"/>
    <w:rsid w:val="006C5253"/>
    <w:rsid w:val="006C546D"/>
    <w:rsid w:val="006C6070"/>
    <w:rsid w:val="006C6AA7"/>
    <w:rsid w:val="006D019C"/>
    <w:rsid w:val="006D0AE9"/>
    <w:rsid w:val="006D30E7"/>
    <w:rsid w:val="006D7305"/>
    <w:rsid w:val="006E094D"/>
    <w:rsid w:val="006E1FE7"/>
    <w:rsid w:val="006E2739"/>
    <w:rsid w:val="006E2B48"/>
    <w:rsid w:val="006E5F40"/>
    <w:rsid w:val="006E768C"/>
    <w:rsid w:val="006E7ED9"/>
    <w:rsid w:val="006F1ECD"/>
    <w:rsid w:val="006F24EF"/>
    <w:rsid w:val="006F2563"/>
    <w:rsid w:val="006F5210"/>
    <w:rsid w:val="006F5388"/>
    <w:rsid w:val="006F5F23"/>
    <w:rsid w:val="006F6A2F"/>
    <w:rsid w:val="006F74F9"/>
    <w:rsid w:val="0070372C"/>
    <w:rsid w:val="007039C5"/>
    <w:rsid w:val="0070411E"/>
    <w:rsid w:val="00706774"/>
    <w:rsid w:val="00706E79"/>
    <w:rsid w:val="00711FF1"/>
    <w:rsid w:val="007150FA"/>
    <w:rsid w:val="0071752D"/>
    <w:rsid w:val="00722D9D"/>
    <w:rsid w:val="007248E3"/>
    <w:rsid w:val="007256F3"/>
    <w:rsid w:val="007258D6"/>
    <w:rsid w:val="00725FFD"/>
    <w:rsid w:val="00726202"/>
    <w:rsid w:val="007266EA"/>
    <w:rsid w:val="00726BE0"/>
    <w:rsid w:val="007306A5"/>
    <w:rsid w:val="00730B88"/>
    <w:rsid w:val="007319AA"/>
    <w:rsid w:val="00731B0F"/>
    <w:rsid w:val="00732594"/>
    <w:rsid w:val="00732C41"/>
    <w:rsid w:val="00737F86"/>
    <w:rsid w:val="007401C5"/>
    <w:rsid w:val="00740433"/>
    <w:rsid w:val="007410F8"/>
    <w:rsid w:val="00742E40"/>
    <w:rsid w:val="00744C5D"/>
    <w:rsid w:val="00744DDA"/>
    <w:rsid w:val="007456FA"/>
    <w:rsid w:val="00747C43"/>
    <w:rsid w:val="00747C62"/>
    <w:rsid w:val="0075741F"/>
    <w:rsid w:val="0076104D"/>
    <w:rsid w:val="00762959"/>
    <w:rsid w:val="00762A16"/>
    <w:rsid w:val="0076310E"/>
    <w:rsid w:val="00764570"/>
    <w:rsid w:val="0076555A"/>
    <w:rsid w:val="007670A5"/>
    <w:rsid w:val="00767466"/>
    <w:rsid w:val="007674E6"/>
    <w:rsid w:val="00771E1A"/>
    <w:rsid w:val="0077323B"/>
    <w:rsid w:val="00774546"/>
    <w:rsid w:val="00774B74"/>
    <w:rsid w:val="00775B8E"/>
    <w:rsid w:val="00776FD3"/>
    <w:rsid w:val="00777734"/>
    <w:rsid w:val="0078049A"/>
    <w:rsid w:val="00780EF1"/>
    <w:rsid w:val="00784031"/>
    <w:rsid w:val="00784591"/>
    <w:rsid w:val="0078758B"/>
    <w:rsid w:val="007914EA"/>
    <w:rsid w:val="00793A63"/>
    <w:rsid w:val="007959FD"/>
    <w:rsid w:val="0079672C"/>
    <w:rsid w:val="00797404"/>
    <w:rsid w:val="007A15FB"/>
    <w:rsid w:val="007A7A1F"/>
    <w:rsid w:val="007B2659"/>
    <w:rsid w:val="007B37B5"/>
    <w:rsid w:val="007B6997"/>
    <w:rsid w:val="007B69A2"/>
    <w:rsid w:val="007B7025"/>
    <w:rsid w:val="007C2F39"/>
    <w:rsid w:val="007C3888"/>
    <w:rsid w:val="007C50E1"/>
    <w:rsid w:val="007C5945"/>
    <w:rsid w:val="007C5B0C"/>
    <w:rsid w:val="007C644B"/>
    <w:rsid w:val="007C7107"/>
    <w:rsid w:val="007D0E38"/>
    <w:rsid w:val="007D21BE"/>
    <w:rsid w:val="007D7CBE"/>
    <w:rsid w:val="007E0702"/>
    <w:rsid w:val="007E0DBC"/>
    <w:rsid w:val="007E0E27"/>
    <w:rsid w:val="007E2ED4"/>
    <w:rsid w:val="007E4ACC"/>
    <w:rsid w:val="007E5B29"/>
    <w:rsid w:val="007E5B7D"/>
    <w:rsid w:val="007E6FA5"/>
    <w:rsid w:val="007F01B5"/>
    <w:rsid w:val="007F222C"/>
    <w:rsid w:val="007F2422"/>
    <w:rsid w:val="007F271A"/>
    <w:rsid w:val="007F3FCB"/>
    <w:rsid w:val="007F73D1"/>
    <w:rsid w:val="00802078"/>
    <w:rsid w:val="00802288"/>
    <w:rsid w:val="00803163"/>
    <w:rsid w:val="0080648F"/>
    <w:rsid w:val="00810A5D"/>
    <w:rsid w:val="0081102B"/>
    <w:rsid w:val="0081206E"/>
    <w:rsid w:val="00815DB0"/>
    <w:rsid w:val="00817E2C"/>
    <w:rsid w:val="00822A1D"/>
    <w:rsid w:val="008240D8"/>
    <w:rsid w:val="008246D5"/>
    <w:rsid w:val="00824F7C"/>
    <w:rsid w:val="00825598"/>
    <w:rsid w:val="008277E8"/>
    <w:rsid w:val="00831153"/>
    <w:rsid w:val="0083145C"/>
    <w:rsid w:val="00833972"/>
    <w:rsid w:val="00835014"/>
    <w:rsid w:val="008359D6"/>
    <w:rsid w:val="00835EE9"/>
    <w:rsid w:val="00843174"/>
    <w:rsid w:val="00843B7C"/>
    <w:rsid w:val="00843F89"/>
    <w:rsid w:val="008444F8"/>
    <w:rsid w:val="00844C89"/>
    <w:rsid w:val="00845547"/>
    <w:rsid w:val="00846F8D"/>
    <w:rsid w:val="00850FED"/>
    <w:rsid w:val="00853059"/>
    <w:rsid w:val="00853EA7"/>
    <w:rsid w:val="00856A00"/>
    <w:rsid w:val="0085700F"/>
    <w:rsid w:val="00861BF0"/>
    <w:rsid w:val="00863648"/>
    <w:rsid w:val="00863BF8"/>
    <w:rsid w:val="00864572"/>
    <w:rsid w:val="0087362A"/>
    <w:rsid w:val="00876280"/>
    <w:rsid w:val="008803BF"/>
    <w:rsid w:val="00882989"/>
    <w:rsid w:val="00883396"/>
    <w:rsid w:val="0088376F"/>
    <w:rsid w:val="00885868"/>
    <w:rsid w:val="00890E0B"/>
    <w:rsid w:val="00890F44"/>
    <w:rsid w:val="00891631"/>
    <w:rsid w:val="00891725"/>
    <w:rsid w:val="00891E4D"/>
    <w:rsid w:val="008923AA"/>
    <w:rsid w:val="008941E6"/>
    <w:rsid w:val="0089423D"/>
    <w:rsid w:val="00896663"/>
    <w:rsid w:val="008972CD"/>
    <w:rsid w:val="008A0F1E"/>
    <w:rsid w:val="008A179E"/>
    <w:rsid w:val="008A293B"/>
    <w:rsid w:val="008A7716"/>
    <w:rsid w:val="008B2E83"/>
    <w:rsid w:val="008B5C63"/>
    <w:rsid w:val="008C0956"/>
    <w:rsid w:val="008C1E18"/>
    <w:rsid w:val="008C2878"/>
    <w:rsid w:val="008C46AA"/>
    <w:rsid w:val="008C7F16"/>
    <w:rsid w:val="008D51D8"/>
    <w:rsid w:val="008D57D2"/>
    <w:rsid w:val="008D6EA1"/>
    <w:rsid w:val="008D7204"/>
    <w:rsid w:val="008E0AA3"/>
    <w:rsid w:val="008E4052"/>
    <w:rsid w:val="008E453A"/>
    <w:rsid w:val="008E7E30"/>
    <w:rsid w:val="008F113E"/>
    <w:rsid w:val="008F4CD5"/>
    <w:rsid w:val="00902A56"/>
    <w:rsid w:val="00906FEA"/>
    <w:rsid w:val="00907052"/>
    <w:rsid w:val="00907C5A"/>
    <w:rsid w:val="00907D81"/>
    <w:rsid w:val="00912A07"/>
    <w:rsid w:val="0091633A"/>
    <w:rsid w:val="009169B4"/>
    <w:rsid w:val="00916CD4"/>
    <w:rsid w:val="00921078"/>
    <w:rsid w:val="00921117"/>
    <w:rsid w:val="00921503"/>
    <w:rsid w:val="00923C02"/>
    <w:rsid w:val="009247FD"/>
    <w:rsid w:val="00925910"/>
    <w:rsid w:val="00925B10"/>
    <w:rsid w:val="00926F7B"/>
    <w:rsid w:val="0092707E"/>
    <w:rsid w:val="00927786"/>
    <w:rsid w:val="009300BD"/>
    <w:rsid w:val="009316FE"/>
    <w:rsid w:val="00932CFE"/>
    <w:rsid w:val="0093650B"/>
    <w:rsid w:val="00936AB2"/>
    <w:rsid w:val="00936DE2"/>
    <w:rsid w:val="009400D8"/>
    <w:rsid w:val="00940732"/>
    <w:rsid w:val="00944540"/>
    <w:rsid w:val="009445E5"/>
    <w:rsid w:val="0094630D"/>
    <w:rsid w:val="009466EA"/>
    <w:rsid w:val="00951D47"/>
    <w:rsid w:val="009528EA"/>
    <w:rsid w:val="00960DC5"/>
    <w:rsid w:val="009613DF"/>
    <w:rsid w:val="009615EC"/>
    <w:rsid w:val="009633E8"/>
    <w:rsid w:val="0096670F"/>
    <w:rsid w:val="00967068"/>
    <w:rsid w:val="009711D6"/>
    <w:rsid w:val="00971AE1"/>
    <w:rsid w:val="00971FE8"/>
    <w:rsid w:val="009735FD"/>
    <w:rsid w:val="00974B52"/>
    <w:rsid w:val="00974DA9"/>
    <w:rsid w:val="00975CB6"/>
    <w:rsid w:val="00980446"/>
    <w:rsid w:val="00981351"/>
    <w:rsid w:val="009817EE"/>
    <w:rsid w:val="00982894"/>
    <w:rsid w:val="00982D1E"/>
    <w:rsid w:val="00982D60"/>
    <w:rsid w:val="00982DD5"/>
    <w:rsid w:val="0098307A"/>
    <w:rsid w:val="00984CD3"/>
    <w:rsid w:val="0098755C"/>
    <w:rsid w:val="009916E9"/>
    <w:rsid w:val="009925EC"/>
    <w:rsid w:val="00995BE9"/>
    <w:rsid w:val="00996321"/>
    <w:rsid w:val="009A0CE6"/>
    <w:rsid w:val="009A1B16"/>
    <w:rsid w:val="009A2484"/>
    <w:rsid w:val="009A2CB4"/>
    <w:rsid w:val="009A3069"/>
    <w:rsid w:val="009A4761"/>
    <w:rsid w:val="009A66D9"/>
    <w:rsid w:val="009B12A9"/>
    <w:rsid w:val="009B2893"/>
    <w:rsid w:val="009B2D7A"/>
    <w:rsid w:val="009B352F"/>
    <w:rsid w:val="009B4915"/>
    <w:rsid w:val="009B6017"/>
    <w:rsid w:val="009B7C52"/>
    <w:rsid w:val="009C5A12"/>
    <w:rsid w:val="009C69D8"/>
    <w:rsid w:val="009C6ACC"/>
    <w:rsid w:val="009C704F"/>
    <w:rsid w:val="009C7F6C"/>
    <w:rsid w:val="009D0578"/>
    <w:rsid w:val="009D10DD"/>
    <w:rsid w:val="009D18A9"/>
    <w:rsid w:val="009D2C59"/>
    <w:rsid w:val="009D5C3A"/>
    <w:rsid w:val="009D5F64"/>
    <w:rsid w:val="009D743A"/>
    <w:rsid w:val="009D7FC3"/>
    <w:rsid w:val="009E05E5"/>
    <w:rsid w:val="009E1C51"/>
    <w:rsid w:val="009E4461"/>
    <w:rsid w:val="009E62BB"/>
    <w:rsid w:val="009E7837"/>
    <w:rsid w:val="009F2255"/>
    <w:rsid w:val="009F5D93"/>
    <w:rsid w:val="009F612F"/>
    <w:rsid w:val="009F6296"/>
    <w:rsid w:val="00A014AE"/>
    <w:rsid w:val="00A01A9E"/>
    <w:rsid w:val="00A03905"/>
    <w:rsid w:val="00A04D08"/>
    <w:rsid w:val="00A058C2"/>
    <w:rsid w:val="00A05BB6"/>
    <w:rsid w:val="00A06AD8"/>
    <w:rsid w:val="00A07680"/>
    <w:rsid w:val="00A078AE"/>
    <w:rsid w:val="00A133A7"/>
    <w:rsid w:val="00A14C80"/>
    <w:rsid w:val="00A1586F"/>
    <w:rsid w:val="00A17862"/>
    <w:rsid w:val="00A20C80"/>
    <w:rsid w:val="00A21C47"/>
    <w:rsid w:val="00A22B6A"/>
    <w:rsid w:val="00A23F99"/>
    <w:rsid w:val="00A244F9"/>
    <w:rsid w:val="00A2465E"/>
    <w:rsid w:val="00A2483E"/>
    <w:rsid w:val="00A24F71"/>
    <w:rsid w:val="00A26349"/>
    <w:rsid w:val="00A2651A"/>
    <w:rsid w:val="00A2732B"/>
    <w:rsid w:val="00A306F0"/>
    <w:rsid w:val="00A3292C"/>
    <w:rsid w:val="00A32937"/>
    <w:rsid w:val="00A35B11"/>
    <w:rsid w:val="00A40C00"/>
    <w:rsid w:val="00A42DCE"/>
    <w:rsid w:val="00A45A7E"/>
    <w:rsid w:val="00A4643E"/>
    <w:rsid w:val="00A47676"/>
    <w:rsid w:val="00A50018"/>
    <w:rsid w:val="00A50A53"/>
    <w:rsid w:val="00A50CF9"/>
    <w:rsid w:val="00A50F04"/>
    <w:rsid w:val="00A53466"/>
    <w:rsid w:val="00A5409D"/>
    <w:rsid w:val="00A56816"/>
    <w:rsid w:val="00A57609"/>
    <w:rsid w:val="00A60368"/>
    <w:rsid w:val="00A619D5"/>
    <w:rsid w:val="00A64A39"/>
    <w:rsid w:val="00A67DF1"/>
    <w:rsid w:val="00A70DEA"/>
    <w:rsid w:val="00A71FEF"/>
    <w:rsid w:val="00A736D8"/>
    <w:rsid w:val="00A80D2C"/>
    <w:rsid w:val="00A81CE2"/>
    <w:rsid w:val="00A83661"/>
    <w:rsid w:val="00A8493B"/>
    <w:rsid w:val="00A851EB"/>
    <w:rsid w:val="00A85AED"/>
    <w:rsid w:val="00A871A1"/>
    <w:rsid w:val="00A91090"/>
    <w:rsid w:val="00A939EB"/>
    <w:rsid w:val="00A93BCD"/>
    <w:rsid w:val="00A9571E"/>
    <w:rsid w:val="00A9677E"/>
    <w:rsid w:val="00A96A91"/>
    <w:rsid w:val="00A96EAD"/>
    <w:rsid w:val="00AA1D12"/>
    <w:rsid w:val="00AA469D"/>
    <w:rsid w:val="00AA76C8"/>
    <w:rsid w:val="00AB057B"/>
    <w:rsid w:val="00AC6E66"/>
    <w:rsid w:val="00AC7226"/>
    <w:rsid w:val="00AD3BA0"/>
    <w:rsid w:val="00AE2991"/>
    <w:rsid w:val="00AE2AB8"/>
    <w:rsid w:val="00AE2B7C"/>
    <w:rsid w:val="00AE2FA0"/>
    <w:rsid w:val="00AE36EA"/>
    <w:rsid w:val="00AE6641"/>
    <w:rsid w:val="00AE7BEC"/>
    <w:rsid w:val="00AF2F77"/>
    <w:rsid w:val="00AF31CA"/>
    <w:rsid w:val="00AF4F7C"/>
    <w:rsid w:val="00AF533C"/>
    <w:rsid w:val="00AF666B"/>
    <w:rsid w:val="00B01102"/>
    <w:rsid w:val="00B02159"/>
    <w:rsid w:val="00B10572"/>
    <w:rsid w:val="00B105B8"/>
    <w:rsid w:val="00B1169D"/>
    <w:rsid w:val="00B12675"/>
    <w:rsid w:val="00B1364E"/>
    <w:rsid w:val="00B13878"/>
    <w:rsid w:val="00B13CA4"/>
    <w:rsid w:val="00B16285"/>
    <w:rsid w:val="00B17825"/>
    <w:rsid w:val="00B221CA"/>
    <w:rsid w:val="00B26E7E"/>
    <w:rsid w:val="00B27333"/>
    <w:rsid w:val="00B27922"/>
    <w:rsid w:val="00B30F83"/>
    <w:rsid w:val="00B32A47"/>
    <w:rsid w:val="00B336C6"/>
    <w:rsid w:val="00B34302"/>
    <w:rsid w:val="00B364FF"/>
    <w:rsid w:val="00B3721B"/>
    <w:rsid w:val="00B403B7"/>
    <w:rsid w:val="00B45F10"/>
    <w:rsid w:val="00B4786F"/>
    <w:rsid w:val="00B503A7"/>
    <w:rsid w:val="00B504DB"/>
    <w:rsid w:val="00B51D5A"/>
    <w:rsid w:val="00B51E45"/>
    <w:rsid w:val="00B5306A"/>
    <w:rsid w:val="00B54401"/>
    <w:rsid w:val="00B55DBA"/>
    <w:rsid w:val="00B571CE"/>
    <w:rsid w:val="00B6104F"/>
    <w:rsid w:val="00B71205"/>
    <w:rsid w:val="00B723B8"/>
    <w:rsid w:val="00B72614"/>
    <w:rsid w:val="00B72694"/>
    <w:rsid w:val="00B747F2"/>
    <w:rsid w:val="00B820F8"/>
    <w:rsid w:val="00B83F0A"/>
    <w:rsid w:val="00B85279"/>
    <w:rsid w:val="00B85EB2"/>
    <w:rsid w:val="00B8682C"/>
    <w:rsid w:val="00B872FF"/>
    <w:rsid w:val="00B90A15"/>
    <w:rsid w:val="00B92A74"/>
    <w:rsid w:val="00B9476F"/>
    <w:rsid w:val="00B95ED0"/>
    <w:rsid w:val="00B978EE"/>
    <w:rsid w:val="00BA1077"/>
    <w:rsid w:val="00BA369B"/>
    <w:rsid w:val="00BA56F4"/>
    <w:rsid w:val="00BA5ADC"/>
    <w:rsid w:val="00BA7B1E"/>
    <w:rsid w:val="00BB0475"/>
    <w:rsid w:val="00BB220D"/>
    <w:rsid w:val="00BB2283"/>
    <w:rsid w:val="00BB3678"/>
    <w:rsid w:val="00BB3B9F"/>
    <w:rsid w:val="00BB5F59"/>
    <w:rsid w:val="00BC45E6"/>
    <w:rsid w:val="00BC6F7B"/>
    <w:rsid w:val="00BC75FB"/>
    <w:rsid w:val="00BD556F"/>
    <w:rsid w:val="00BE0AC0"/>
    <w:rsid w:val="00BE2297"/>
    <w:rsid w:val="00BE298F"/>
    <w:rsid w:val="00BE2BE0"/>
    <w:rsid w:val="00BE36A7"/>
    <w:rsid w:val="00BE501C"/>
    <w:rsid w:val="00BE72EA"/>
    <w:rsid w:val="00BF03D3"/>
    <w:rsid w:val="00BF0BCF"/>
    <w:rsid w:val="00BF17D5"/>
    <w:rsid w:val="00BF2E4E"/>
    <w:rsid w:val="00BF30AB"/>
    <w:rsid w:val="00BF44D0"/>
    <w:rsid w:val="00BF7166"/>
    <w:rsid w:val="00BF7912"/>
    <w:rsid w:val="00C04052"/>
    <w:rsid w:val="00C0507D"/>
    <w:rsid w:val="00C05290"/>
    <w:rsid w:val="00C06F63"/>
    <w:rsid w:val="00C10FBC"/>
    <w:rsid w:val="00C111F5"/>
    <w:rsid w:val="00C122E0"/>
    <w:rsid w:val="00C136B8"/>
    <w:rsid w:val="00C13827"/>
    <w:rsid w:val="00C17018"/>
    <w:rsid w:val="00C258FA"/>
    <w:rsid w:val="00C261CD"/>
    <w:rsid w:val="00C27A96"/>
    <w:rsid w:val="00C27E49"/>
    <w:rsid w:val="00C37177"/>
    <w:rsid w:val="00C4112E"/>
    <w:rsid w:val="00C414B2"/>
    <w:rsid w:val="00C447BB"/>
    <w:rsid w:val="00C46AEA"/>
    <w:rsid w:val="00C478E2"/>
    <w:rsid w:val="00C50C70"/>
    <w:rsid w:val="00C50D7C"/>
    <w:rsid w:val="00C50FA7"/>
    <w:rsid w:val="00C51099"/>
    <w:rsid w:val="00C51F9E"/>
    <w:rsid w:val="00C53458"/>
    <w:rsid w:val="00C5460F"/>
    <w:rsid w:val="00C56C5C"/>
    <w:rsid w:val="00C57A7F"/>
    <w:rsid w:val="00C57DCA"/>
    <w:rsid w:val="00C602A1"/>
    <w:rsid w:val="00C6137A"/>
    <w:rsid w:val="00C61B5F"/>
    <w:rsid w:val="00C61E18"/>
    <w:rsid w:val="00C65C4B"/>
    <w:rsid w:val="00C668A1"/>
    <w:rsid w:val="00C67494"/>
    <w:rsid w:val="00C739A7"/>
    <w:rsid w:val="00C7407C"/>
    <w:rsid w:val="00C7441F"/>
    <w:rsid w:val="00C75B9D"/>
    <w:rsid w:val="00C85E7D"/>
    <w:rsid w:val="00C87314"/>
    <w:rsid w:val="00C92867"/>
    <w:rsid w:val="00C92CCA"/>
    <w:rsid w:val="00C95F82"/>
    <w:rsid w:val="00C9638F"/>
    <w:rsid w:val="00C97041"/>
    <w:rsid w:val="00C971BF"/>
    <w:rsid w:val="00CA0A97"/>
    <w:rsid w:val="00CA0F92"/>
    <w:rsid w:val="00CA16BD"/>
    <w:rsid w:val="00CA2089"/>
    <w:rsid w:val="00CA5E1D"/>
    <w:rsid w:val="00CA6E95"/>
    <w:rsid w:val="00CA7362"/>
    <w:rsid w:val="00CB28EB"/>
    <w:rsid w:val="00CB37E4"/>
    <w:rsid w:val="00CB39A2"/>
    <w:rsid w:val="00CB4701"/>
    <w:rsid w:val="00CC04C4"/>
    <w:rsid w:val="00CC0C52"/>
    <w:rsid w:val="00CC1B19"/>
    <w:rsid w:val="00CC223B"/>
    <w:rsid w:val="00CC51B5"/>
    <w:rsid w:val="00CC71D4"/>
    <w:rsid w:val="00CC7448"/>
    <w:rsid w:val="00CD147B"/>
    <w:rsid w:val="00CD371A"/>
    <w:rsid w:val="00CD441D"/>
    <w:rsid w:val="00CD6C90"/>
    <w:rsid w:val="00CD7043"/>
    <w:rsid w:val="00CD77B1"/>
    <w:rsid w:val="00CE0EB5"/>
    <w:rsid w:val="00CE253C"/>
    <w:rsid w:val="00CE43B0"/>
    <w:rsid w:val="00CE48BA"/>
    <w:rsid w:val="00CE5DC9"/>
    <w:rsid w:val="00CE7E51"/>
    <w:rsid w:val="00CF101E"/>
    <w:rsid w:val="00CF1548"/>
    <w:rsid w:val="00CF3DF6"/>
    <w:rsid w:val="00CF51A7"/>
    <w:rsid w:val="00CF5E66"/>
    <w:rsid w:val="00CF64DE"/>
    <w:rsid w:val="00CF77A2"/>
    <w:rsid w:val="00D00C48"/>
    <w:rsid w:val="00D00D46"/>
    <w:rsid w:val="00D02DF9"/>
    <w:rsid w:val="00D0335F"/>
    <w:rsid w:val="00D036A6"/>
    <w:rsid w:val="00D037E9"/>
    <w:rsid w:val="00D117B8"/>
    <w:rsid w:val="00D14604"/>
    <w:rsid w:val="00D2477B"/>
    <w:rsid w:val="00D26AB9"/>
    <w:rsid w:val="00D30DC4"/>
    <w:rsid w:val="00D32509"/>
    <w:rsid w:val="00D336E6"/>
    <w:rsid w:val="00D353B3"/>
    <w:rsid w:val="00D35E30"/>
    <w:rsid w:val="00D43476"/>
    <w:rsid w:val="00D4412A"/>
    <w:rsid w:val="00D44554"/>
    <w:rsid w:val="00D46388"/>
    <w:rsid w:val="00D46632"/>
    <w:rsid w:val="00D47885"/>
    <w:rsid w:val="00D53626"/>
    <w:rsid w:val="00D53CD9"/>
    <w:rsid w:val="00D54190"/>
    <w:rsid w:val="00D544A1"/>
    <w:rsid w:val="00D54739"/>
    <w:rsid w:val="00D54F38"/>
    <w:rsid w:val="00D56778"/>
    <w:rsid w:val="00D67C12"/>
    <w:rsid w:val="00D707FA"/>
    <w:rsid w:val="00D70BFE"/>
    <w:rsid w:val="00D71FA5"/>
    <w:rsid w:val="00D7312D"/>
    <w:rsid w:val="00D75C94"/>
    <w:rsid w:val="00D835E3"/>
    <w:rsid w:val="00D836DD"/>
    <w:rsid w:val="00D85EED"/>
    <w:rsid w:val="00D86C23"/>
    <w:rsid w:val="00D902A7"/>
    <w:rsid w:val="00D90370"/>
    <w:rsid w:val="00D90EEB"/>
    <w:rsid w:val="00D94881"/>
    <w:rsid w:val="00D95D94"/>
    <w:rsid w:val="00D96B09"/>
    <w:rsid w:val="00DA0FF7"/>
    <w:rsid w:val="00DA21F6"/>
    <w:rsid w:val="00DA2F8A"/>
    <w:rsid w:val="00DA39FF"/>
    <w:rsid w:val="00DA72A3"/>
    <w:rsid w:val="00DA7BEA"/>
    <w:rsid w:val="00DB57B1"/>
    <w:rsid w:val="00DB6BCA"/>
    <w:rsid w:val="00DB6D7A"/>
    <w:rsid w:val="00DC0D14"/>
    <w:rsid w:val="00DC1DB2"/>
    <w:rsid w:val="00DC7D1B"/>
    <w:rsid w:val="00DD0373"/>
    <w:rsid w:val="00DD0D0F"/>
    <w:rsid w:val="00DD2198"/>
    <w:rsid w:val="00DD2D9C"/>
    <w:rsid w:val="00DD36FC"/>
    <w:rsid w:val="00DD437B"/>
    <w:rsid w:val="00DE0B2E"/>
    <w:rsid w:val="00DE168B"/>
    <w:rsid w:val="00DE1F45"/>
    <w:rsid w:val="00DE2CF8"/>
    <w:rsid w:val="00DE2D96"/>
    <w:rsid w:val="00DE390A"/>
    <w:rsid w:val="00DE4305"/>
    <w:rsid w:val="00DE595E"/>
    <w:rsid w:val="00DE59BE"/>
    <w:rsid w:val="00DE5BF7"/>
    <w:rsid w:val="00DE696A"/>
    <w:rsid w:val="00DF138B"/>
    <w:rsid w:val="00DF2804"/>
    <w:rsid w:val="00DF35E0"/>
    <w:rsid w:val="00DF7682"/>
    <w:rsid w:val="00DF7707"/>
    <w:rsid w:val="00DF7B2C"/>
    <w:rsid w:val="00DF7DEA"/>
    <w:rsid w:val="00E008E8"/>
    <w:rsid w:val="00E00D59"/>
    <w:rsid w:val="00E012CD"/>
    <w:rsid w:val="00E01508"/>
    <w:rsid w:val="00E02206"/>
    <w:rsid w:val="00E04BB1"/>
    <w:rsid w:val="00E10CCE"/>
    <w:rsid w:val="00E140C1"/>
    <w:rsid w:val="00E207CD"/>
    <w:rsid w:val="00E21340"/>
    <w:rsid w:val="00E22D3A"/>
    <w:rsid w:val="00E23829"/>
    <w:rsid w:val="00E25ACF"/>
    <w:rsid w:val="00E26774"/>
    <w:rsid w:val="00E30A85"/>
    <w:rsid w:val="00E32A55"/>
    <w:rsid w:val="00E3379C"/>
    <w:rsid w:val="00E33AE7"/>
    <w:rsid w:val="00E33BAE"/>
    <w:rsid w:val="00E34260"/>
    <w:rsid w:val="00E344CA"/>
    <w:rsid w:val="00E34B2E"/>
    <w:rsid w:val="00E362ED"/>
    <w:rsid w:val="00E37386"/>
    <w:rsid w:val="00E41BA8"/>
    <w:rsid w:val="00E436AF"/>
    <w:rsid w:val="00E44224"/>
    <w:rsid w:val="00E46A58"/>
    <w:rsid w:val="00E504DC"/>
    <w:rsid w:val="00E526BF"/>
    <w:rsid w:val="00E534E0"/>
    <w:rsid w:val="00E543CB"/>
    <w:rsid w:val="00E5599D"/>
    <w:rsid w:val="00E55CA1"/>
    <w:rsid w:val="00E55DE9"/>
    <w:rsid w:val="00E55ED5"/>
    <w:rsid w:val="00E600C1"/>
    <w:rsid w:val="00E6032A"/>
    <w:rsid w:val="00E60AF2"/>
    <w:rsid w:val="00E6427A"/>
    <w:rsid w:val="00E64608"/>
    <w:rsid w:val="00E655DE"/>
    <w:rsid w:val="00E66570"/>
    <w:rsid w:val="00E66EF2"/>
    <w:rsid w:val="00E71C6E"/>
    <w:rsid w:val="00E72785"/>
    <w:rsid w:val="00E7559F"/>
    <w:rsid w:val="00E75FDD"/>
    <w:rsid w:val="00E80600"/>
    <w:rsid w:val="00E808F3"/>
    <w:rsid w:val="00E85C87"/>
    <w:rsid w:val="00E85FD4"/>
    <w:rsid w:val="00E92026"/>
    <w:rsid w:val="00E92E25"/>
    <w:rsid w:val="00EA26E3"/>
    <w:rsid w:val="00EA3976"/>
    <w:rsid w:val="00EA4001"/>
    <w:rsid w:val="00EA704C"/>
    <w:rsid w:val="00EA73A2"/>
    <w:rsid w:val="00EA795D"/>
    <w:rsid w:val="00EB015C"/>
    <w:rsid w:val="00EB23C1"/>
    <w:rsid w:val="00EB3106"/>
    <w:rsid w:val="00EB65A3"/>
    <w:rsid w:val="00EB70B9"/>
    <w:rsid w:val="00EC1E4C"/>
    <w:rsid w:val="00EC2726"/>
    <w:rsid w:val="00EC275F"/>
    <w:rsid w:val="00EC54AA"/>
    <w:rsid w:val="00EC58FE"/>
    <w:rsid w:val="00EC7187"/>
    <w:rsid w:val="00ED023E"/>
    <w:rsid w:val="00ED1CEF"/>
    <w:rsid w:val="00ED314A"/>
    <w:rsid w:val="00ED43C3"/>
    <w:rsid w:val="00ED463B"/>
    <w:rsid w:val="00ED508A"/>
    <w:rsid w:val="00ED5CC7"/>
    <w:rsid w:val="00EE0B86"/>
    <w:rsid w:val="00EE1592"/>
    <w:rsid w:val="00EE1A03"/>
    <w:rsid w:val="00EE1BA5"/>
    <w:rsid w:val="00EE2588"/>
    <w:rsid w:val="00EE2CDD"/>
    <w:rsid w:val="00EE2E87"/>
    <w:rsid w:val="00EE2F58"/>
    <w:rsid w:val="00EE4813"/>
    <w:rsid w:val="00EE4D91"/>
    <w:rsid w:val="00EE61E3"/>
    <w:rsid w:val="00EE7624"/>
    <w:rsid w:val="00EF3E32"/>
    <w:rsid w:val="00EF697C"/>
    <w:rsid w:val="00EF6A5D"/>
    <w:rsid w:val="00EF6D4B"/>
    <w:rsid w:val="00EF78C5"/>
    <w:rsid w:val="00F00F04"/>
    <w:rsid w:val="00F01EC6"/>
    <w:rsid w:val="00F04A9E"/>
    <w:rsid w:val="00F066B6"/>
    <w:rsid w:val="00F116B0"/>
    <w:rsid w:val="00F118EB"/>
    <w:rsid w:val="00F131C2"/>
    <w:rsid w:val="00F133A9"/>
    <w:rsid w:val="00F13455"/>
    <w:rsid w:val="00F14679"/>
    <w:rsid w:val="00F14C89"/>
    <w:rsid w:val="00F15060"/>
    <w:rsid w:val="00F20A47"/>
    <w:rsid w:val="00F21A03"/>
    <w:rsid w:val="00F22E50"/>
    <w:rsid w:val="00F2515A"/>
    <w:rsid w:val="00F3057E"/>
    <w:rsid w:val="00F314DB"/>
    <w:rsid w:val="00F33703"/>
    <w:rsid w:val="00F34623"/>
    <w:rsid w:val="00F35435"/>
    <w:rsid w:val="00F3738C"/>
    <w:rsid w:val="00F379D0"/>
    <w:rsid w:val="00F412F7"/>
    <w:rsid w:val="00F41B10"/>
    <w:rsid w:val="00F47251"/>
    <w:rsid w:val="00F53572"/>
    <w:rsid w:val="00F537DC"/>
    <w:rsid w:val="00F54503"/>
    <w:rsid w:val="00F54C4B"/>
    <w:rsid w:val="00F56C8E"/>
    <w:rsid w:val="00F56D32"/>
    <w:rsid w:val="00F60EB6"/>
    <w:rsid w:val="00F61F8C"/>
    <w:rsid w:val="00F62849"/>
    <w:rsid w:val="00F64E37"/>
    <w:rsid w:val="00F65092"/>
    <w:rsid w:val="00F67A19"/>
    <w:rsid w:val="00F80831"/>
    <w:rsid w:val="00F8175E"/>
    <w:rsid w:val="00F82D05"/>
    <w:rsid w:val="00F849C3"/>
    <w:rsid w:val="00F861FA"/>
    <w:rsid w:val="00F86A94"/>
    <w:rsid w:val="00F87837"/>
    <w:rsid w:val="00F879A1"/>
    <w:rsid w:val="00F903ED"/>
    <w:rsid w:val="00F90EEB"/>
    <w:rsid w:val="00F9192C"/>
    <w:rsid w:val="00F92657"/>
    <w:rsid w:val="00F93457"/>
    <w:rsid w:val="00F95D61"/>
    <w:rsid w:val="00F960E9"/>
    <w:rsid w:val="00F97AB4"/>
    <w:rsid w:val="00FA0F70"/>
    <w:rsid w:val="00FA2312"/>
    <w:rsid w:val="00FA42A0"/>
    <w:rsid w:val="00FA5117"/>
    <w:rsid w:val="00FA64D0"/>
    <w:rsid w:val="00FB05F5"/>
    <w:rsid w:val="00FB264B"/>
    <w:rsid w:val="00FB3356"/>
    <w:rsid w:val="00FB5185"/>
    <w:rsid w:val="00FB75D9"/>
    <w:rsid w:val="00FB780E"/>
    <w:rsid w:val="00FC18D4"/>
    <w:rsid w:val="00FC4F42"/>
    <w:rsid w:val="00FC6BC3"/>
    <w:rsid w:val="00FC7868"/>
    <w:rsid w:val="00FD0EE9"/>
    <w:rsid w:val="00FD2A5F"/>
    <w:rsid w:val="00FD4872"/>
    <w:rsid w:val="00FD4A68"/>
    <w:rsid w:val="00FE0484"/>
    <w:rsid w:val="00FE1245"/>
    <w:rsid w:val="00FE5144"/>
    <w:rsid w:val="00FE7B68"/>
    <w:rsid w:val="00FF0184"/>
    <w:rsid w:val="00FF088F"/>
    <w:rsid w:val="00FF112E"/>
    <w:rsid w:val="00FF2C1B"/>
    <w:rsid w:val="00FF3794"/>
    <w:rsid w:val="00FF638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362"/>
  </w:style>
  <w:style w:type="paragraph" w:styleId="Balk3">
    <w:name w:val="heading 3"/>
    <w:basedOn w:val="Normal"/>
    <w:link w:val="Balk3Char"/>
    <w:uiPriority w:val="9"/>
    <w:qFormat/>
    <w:rsid w:val="00730B88"/>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3Char">
    <w:name w:val="Başlık 3 Char"/>
    <w:basedOn w:val="VarsaylanParagrafYazTipi"/>
    <w:link w:val="Balk3"/>
    <w:uiPriority w:val="9"/>
    <w:rsid w:val="00730B88"/>
    <w:rPr>
      <w:rFonts w:ascii="Times New Roman" w:eastAsia="Times New Roman" w:hAnsi="Times New Roman" w:cs="Times New Roman"/>
      <w:b/>
      <w:bCs/>
      <w:sz w:val="27"/>
      <w:szCs w:val="27"/>
      <w:lang w:eastAsia="tr-TR"/>
    </w:rPr>
  </w:style>
  <w:style w:type="character" w:styleId="Gl">
    <w:name w:val="Strong"/>
    <w:basedOn w:val="VarsaylanParagrafYazTipi"/>
    <w:uiPriority w:val="22"/>
    <w:qFormat/>
    <w:rsid w:val="00730B88"/>
    <w:rPr>
      <w:b/>
      <w:bCs/>
    </w:rPr>
  </w:style>
  <w:style w:type="paragraph" w:styleId="NormalWeb">
    <w:name w:val="Normal (Web)"/>
    <w:basedOn w:val="Normal"/>
    <w:uiPriority w:val="99"/>
    <w:semiHidden/>
    <w:unhideWhenUsed/>
    <w:rsid w:val="00730B88"/>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730B88"/>
    <w:rPr>
      <w:color w:val="0000FF"/>
      <w:u w:val="single"/>
    </w:rPr>
  </w:style>
</w:styles>
</file>

<file path=word/webSettings.xml><?xml version="1.0" encoding="utf-8"?>
<w:webSettings xmlns:r="http://schemas.openxmlformats.org/officeDocument/2006/relationships" xmlns:w="http://schemas.openxmlformats.org/wordprocessingml/2006/main">
  <w:divs>
    <w:div w:id="25832074">
      <w:bodyDiv w:val="1"/>
      <w:marLeft w:val="0"/>
      <w:marRight w:val="0"/>
      <w:marTop w:val="0"/>
      <w:marBottom w:val="0"/>
      <w:divBdr>
        <w:top w:val="none" w:sz="0" w:space="0" w:color="auto"/>
        <w:left w:val="none" w:sz="0" w:space="0" w:color="auto"/>
        <w:bottom w:val="none" w:sz="0" w:space="0" w:color="auto"/>
        <w:right w:val="none" w:sz="0" w:space="0" w:color="auto"/>
      </w:divBdr>
      <w:divsChild>
        <w:div w:id="350688060">
          <w:marLeft w:val="0"/>
          <w:marRight w:val="0"/>
          <w:marTop w:val="136"/>
          <w:marBottom w:val="272"/>
          <w:divBdr>
            <w:top w:val="none" w:sz="0" w:space="0" w:color="auto"/>
            <w:left w:val="none" w:sz="0" w:space="0" w:color="auto"/>
            <w:bottom w:val="single" w:sz="6" w:space="6" w:color="F8F5F0"/>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ResimGoster('sayilar/40/4-3.jpg')" TargetMode="External"/><Relationship Id="rId5" Type="http://schemas.openxmlformats.org/officeDocument/2006/relationships/hyperlink" Target="javascript:ResimGoster('sayilar/40/4-2.jpg')" TargetMode="External"/><Relationship Id="rId4" Type="http://schemas.openxmlformats.org/officeDocument/2006/relationships/hyperlink" Target="javascript:ResimGoster('sayilar/40/4-1.jpg')"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2887</Words>
  <Characters>16457</Characters>
  <Application>Microsoft Office Word</Application>
  <DocSecurity>0</DocSecurity>
  <Lines>137</Lines>
  <Paragraphs>38</Paragraphs>
  <ScaleCrop>false</ScaleCrop>
  <Company/>
  <LinksUpToDate>false</LinksUpToDate>
  <CharactersWithSpaces>19306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pcl</dc:creator>
  <cp:lastModifiedBy>pcl</cp:lastModifiedBy>
  <cp:revision>1</cp:revision>
  <dcterms:created xsi:type="dcterms:W3CDTF">2017-12-06T07:33:00Z</dcterms:created>
  <dcterms:modified xsi:type="dcterms:W3CDTF">2017-12-06T07:38:00Z</dcterms:modified>
</cp:coreProperties>
</file>