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5D1F" w:rsidRPr="00E55D1F" w:rsidRDefault="00E55D1F" w:rsidP="00E55D1F">
      <w:proofErr w:type="spellStart"/>
      <w:proofErr w:type="gramStart"/>
      <w:r w:rsidRPr="00E55D1F">
        <w:t>Öz:Amaç</w:t>
      </w:r>
      <w:proofErr w:type="spellEnd"/>
      <w:proofErr w:type="gramEnd"/>
      <w:r w:rsidRPr="00E55D1F">
        <w:t xml:space="preserve">: Düşük riskli </w:t>
      </w:r>
      <w:proofErr w:type="spellStart"/>
      <w:r w:rsidRPr="00E55D1F">
        <w:t>febril</w:t>
      </w:r>
      <w:proofErr w:type="spellEnd"/>
      <w:r w:rsidRPr="00E55D1F">
        <w:t xml:space="preserve"> </w:t>
      </w:r>
      <w:proofErr w:type="spellStart"/>
      <w:r w:rsidRPr="00E55D1F">
        <w:t>nötropenilerde</w:t>
      </w:r>
      <w:proofErr w:type="spellEnd"/>
      <w:r w:rsidRPr="00E55D1F">
        <w:t xml:space="preserve"> kombine antibiyotik tedaviler ile </w:t>
      </w:r>
      <w:proofErr w:type="spellStart"/>
      <w:r w:rsidRPr="00E55D1F">
        <w:t>monoterapilerirı</w:t>
      </w:r>
      <w:proofErr w:type="spellEnd"/>
      <w:r w:rsidRPr="00E55D1F">
        <w:t xml:space="preserve"> etkinliklerinin ve </w:t>
      </w:r>
      <w:proofErr w:type="spellStart"/>
      <w:r w:rsidRPr="00E55D1F">
        <w:t>toksisitelerinin</w:t>
      </w:r>
      <w:proofErr w:type="spellEnd"/>
      <w:r w:rsidRPr="00E55D1F">
        <w:t xml:space="preserve"> karşılaştırılması amaçlanmıştır. Yöntem: Bu çalışmada 126 düşük riskli </w:t>
      </w:r>
      <w:proofErr w:type="spellStart"/>
      <w:r w:rsidRPr="00E55D1F">
        <w:t>febril</w:t>
      </w:r>
      <w:proofErr w:type="spellEnd"/>
      <w:r w:rsidRPr="00E55D1F">
        <w:t xml:space="preserve"> </w:t>
      </w:r>
      <w:proofErr w:type="spellStart"/>
      <w:r w:rsidRPr="00E55D1F">
        <w:t>nötropeni</w:t>
      </w:r>
      <w:proofErr w:type="spellEnd"/>
      <w:r w:rsidRPr="00E55D1F">
        <w:t xml:space="preserve"> atağında </w:t>
      </w:r>
      <w:proofErr w:type="spellStart"/>
      <w:r w:rsidRPr="00E55D1F">
        <w:t>sefepim</w:t>
      </w:r>
      <w:proofErr w:type="spellEnd"/>
      <w:r w:rsidRPr="00E55D1F">
        <w:t xml:space="preserve"> 2 g/gün (n= 34), </w:t>
      </w:r>
      <w:proofErr w:type="spellStart"/>
      <w:r w:rsidRPr="00E55D1F">
        <w:t>meropenem</w:t>
      </w:r>
      <w:proofErr w:type="spellEnd"/>
      <w:r w:rsidRPr="00E55D1F">
        <w:t xml:space="preserve"> 3 g/gün (n= 28), </w:t>
      </w:r>
      <w:proofErr w:type="spellStart"/>
      <w:r w:rsidRPr="00E55D1F">
        <w:t>sefepim</w:t>
      </w:r>
      <w:proofErr w:type="spellEnd"/>
      <w:r w:rsidRPr="00E55D1F">
        <w:t xml:space="preserve"> 2 g/gün + </w:t>
      </w:r>
      <w:proofErr w:type="spellStart"/>
      <w:r w:rsidRPr="00E55D1F">
        <w:t>amikasin</w:t>
      </w:r>
      <w:proofErr w:type="spellEnd"/>
      <w:r w:rsidRPr="00E55D1F">
        <w:t xml:space="preserve"> 1 g/gün (n= 33) ve </w:t>
      </w:r>
      <w:proofErr w:type="spellStart"/>
      <w:r w:rsidRPr="00E55D1F">
        <w:t>meropenem</w:t>
      </w:r>
      <w:proofErr w:type="spellEnd"/>
      <w:r w:rsidRPr="00E55D1F">
        <w:t xml:space="preserve"> 3 §/gün + </w:t>
      </w:r>
      <w:proofErr w:type="spellStart"/>
      <w:r w:rsidRPr="00E55D1F">
        <w:t>amikasin</w:t>
      </w:r>
      <w:proofErr w:type="spellEnd"/>
      <w:r w:rsidRPr="00E55D1F">
        <w:t xml:space="preserve"> 1 g/gün (n= 31) verildi. Bulgular: Hastaların </w:t>
      </w:r>
      <w:proofErr w:type="spellStart"/>
      <w:r w:rsidRPr="00E55D1F">
        <w:t>nötrofilsayıSı</w:t>
      </w:r>
      <w:proofErr w:type="spellEnd"/>
      <w:r w:rsidRPr="00E55D1F">
        <w:t xml:space="preserve"> tüm grup için ortalama 415 ± 137/mm3 idi. Atakların %42'sinde klinik ve mikrobiyolojik olarak herhangi bir </w:t>
      </w:r>
      <w:proofErr w:type="spellStart"/>
      <w:r w:rsidRPr="00E55D1F">
        <w:t>infeksiyon</w:t>
      </w:r>
      <w:proofErr w:type="spellEnd"/>
      <w:r w:rsidRPr="00E55D1F">
        <w:t xml:space="preserve"> etkeni saptanmazken %</w:t>
      </w:r>
      <w:proofErr w:type="gramStart"/>
      <w:r w:rsidRPr="00E55D1F">
        <w:t>12.6'sında</w:t>
      </w:r>
      <w:proofErr w:type="gramEnd"/>
      <w:r w:rsidRPr="00E55D1F">
        <w:t xml:space="preserve"> </w:t>
      </w:r>
      <w:proofErr w:type="spellStart"/>
      <w:r w:rsidRPr="00E55D1F">
        <w:t>bakteremi</w:t>
      </w:r>
      <w:proofErr w:type="spellEnd"/>
      <w:r w:rsidRPr="00E55D1F">
        <w:t xml:space="preserve"> gözlendi. Saptanan </w:t>
      </w:r>
      <w:proofErr w:type="spellStart"/>
      <w:r w:rsidRPr="00E55D1F">
        <w:t>infeksiyon</w:t>
      </w:r>
      <w:proofErr w:type="spellEnd"/>
      <w:r w:rsidRPr="00E55D1F">
        <w:t xml:space="preserve"> ajanlarının %</w:t>
      </w:r>
      <w:proofErr w:type="gramStart"/>
      <w:r w:rsidRPr="00E55D1F">
        <w:t>52.9'u</w:t>
      </w:r>
      <w:proofErr w:type="gramEnd"/>
      <w:r w:rsidRPr="00E55D1F">
        <w:t xml:space="preserve"> gram-pozitif %41.2'si gram-negatif idi. Sonuçta tüm gruplar altta yatan hastalık, </w:t>
      </w:r>
      <w:proofErr w:type="spellStart"/>
      <w:r w:rsidRPr="00E55D1F">
        <w:t>nötropeni</w:t>
      </w:r>
      <w:proofErr w:type="spellEnd"/>
      <w:r w:rsidRPr="00E55D1F">
        <w:t xml:space="preserve"> süresi ve derinliği, yan etki ve ateş cevabı açısından karşılaştırıldığında tedavi protokolleri arasında bir fark saptanmadı. Ayrıca hastalarda </w:t>
      </w:r>
      <w:proofErr w:type="spellStart"/>
      <w:r w:rsidRPr="00E55D1F">
        <w:t>infeksiyona</w:t>
      </w:r>
      <w:proofErr w:type="spellEnd"/>
      <w:r w:rsidRPr="00E55D1F">
        <w:t xml:space="preserve"> bağlı ölüm ve ciddi </w:t>
      </w:r>
      <w:proofErr w:type="spellStart"/>
      <w:r w:rsidRPr="00E55D1F">
        <w:t>toksisite</w:t>
      </w:r>
      <w:proofErr w:type="spellEnd"/>
      <w:r w:rsidRPr="00E55D1F">
        <w:t xml:space="preserve"> görülmedi. Yorum: Düşük riskli </w:t>
      </w:r>
      <w:proofErr w:type="spellStart"/>
      <w:r w:rsidRPr="00E55D1F">
        <w:t>febril</w:t>
      </w:r>
      <w:proofErr w:type="spellEnd"/>
      <w:r w:rsidRPr="00E55D1F">
        <w:t xml:space="preserve"> </w:t>
      </w:r>
      <w:proofErr w:type="spellStart"/>
      <w:r w:rsidRPr="00E55D1F">
        <w:t>nötropenilerde</w:t>
      </w:r>
      <w:proofErr w:type="spellEnd"/>
      <w:r w:rsidRPr="00E55D1F">
        <w:t xml:space="preserve"> </w:t>
      </w:r>
      <w:proofErr w:type="spellStart"/>
      <w:r w:rsidRPr="00E55D1F">
        <w:t>monoterapiler</w:t>
      </w:r>
      <w:proofErr w:type="spellEnd"/>
      <w:r w:rsidRPr="00E55D1F">
        <w:t xml:space="preserve"> en az kombine </w:t>
      </w:r>
      <w:proofErr w:type="gramStart"/>
      <w:r w:rsidRPr="00E55D1F">
        <w:t>terapiler</w:t>
      </w:r>
      <w:proofErr w:type="gramEnd"/>
      <w:r w:rsidRPr="00E55D1F">
        <w:t xml:space="preserve"> kadar etkilidir ve güvenle kullanılabilir.</w:t>
      </w:r>
    </w:p>
    <w:p w:rsidR="00813973" w:rsidRPr="00E55D1F" w:rsidRDefault="00813973" w:rsidP="00E55D1F">
      <w:bookmarkStart w:id="0" w:name="_GoBack"/>
      <w:bookmarkEnd w:id="0"/>
    </w:p>
    <w:sectPr w:rsidR="00813973" w:rsidRPr="00E55D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813973"/>
    <w:rsid w:val="00927C8C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884</Characters>
  <Application>Microsoft Office Word</Application>
  <DocSecurity>0</DocSecurity>
  <Lines>7</Lines>
  <Paragraphs>2</Paragraphs>
  <ScaleCrop>false</ScaleCrop>
  <Company>HP Inc.</Company>
  <LinksUpToDate>false</LinksUpToDate>
  <CharactersWithSpaces>1037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</cp:revision>
  <dcterms:created xsi:type="dcterms:W3CDTF">2020-06-19T12:48:00Z</dcterms:created>
  <dcterms:modified xsi:type="dcterms:W3CDTF">2020-10-19T17:30:00Z</dcterms:modified>
</cp:coreProperties>
</file>