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C02CC2" w:rsidRDefault="00C02CC2" w:rsidP="00C02CC2">
      <w:proofErr w:type="spellStart"/>
      <w:proofErr w:type="gramStart"/>
      <w:r w:rsidRPr="00C02CC2">
        <w:t>Öz:Uluslararası</w:t>
      </w:r>
      <w:proofErr w:type="spellEnd"/>
      <w:proofErr w:type="gramEnd"/>
      <w:r w:rsidRPr="00C02CC2">
        <w:t xml:space="preserve"> vergi hukukunun günümüzde karşılaştığı en önemli zorluklardan biri, uluslararası şirketlerin agresif vergi planlamaları vasıtasıyla vergi kaçırmalarını sağlayan dijital ekonomideki gelişmelerdir. Dijital ekonomi içerisinde yer alan çoğu uluslararası şirketler, uluslararası vergi rejimindeki </w:t>
      </w:r>
      <w:proofErr w:type="gramStart"/>
      <w:r w:rsidRPr="00C02CC2">
        <w:t>bir çok</w:t>
      </w:r>
      <w:proofErr w:type="gramEnd"/>
      <w:r w:rsidRPr="00C02CC2">
        <w:t xml:space="preserve"> boşluktan yararlanmak suretiyle vergi matrahlarını aşındırmaktadırlar. Genel olarak tüm vergi otoriteleri uluslararası işletmeleri vergilendirme konusunda zorluklarla karşı karşıya kalmaktadırlar. Dijital ekonominin büyümesi, dünya ticaretinin artması ve finans ve kaynaklarla ilgili hareketlilik, ulusal ve uluslararası vergi mevzuatını zor duruma düşürmektedir. Ekonomik İşbirliği ve Kalkınma Örgütü (OECD), Matrah Aşındırma ve Kar Aktarımı (BEPS) konularına odaklanmış ve uluslararası vergilendirme konularında ortaya çıkan güçlükleri yönetmek için </w:t>
      </w:r>
      <w:proofErr w:type="gramStart"/>
      <w:r w:rsidRPr="00C02CC2">
        <w:t>bir çok</w:t>
      </w:r>
      <w:proofErr w:type="gramEnd"/>
      <w:r w:rsidRPr="00C02CC2">
        <w:t xml:space="preserve"> BEPS Eylem Planı geliştirmiştir. Bu kapsamda BEPS Eylem 1, özellikle dijital ekonominin ortaya çıkardığı vergi zorluklarını hedef almaktadır. Bu çalışmada, ağırlıklı olarak dijital ekonominin vergilendirilmesinde ortaya çıkan yeni gelişmeler ele alınmakta, doğrudan ve dolaylı vergilerle ilişkili olarak vergi matrahının azaltılmasını önlemeye yönelik bölgesel ve ülke politikaları ile uluslararası vergi hukukundaki dönüşüm incelenmektedir.</w:t>
      </w:r>
      <w:bookmarkStart w:id="0" w:name="_GoBack"/>
      <w:bookmarkEnd w:id="0"/>
    </w:p>
    <w:sectPr w:rsidR="002F7548" w:rsidRPr="00C02C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2F7548"/>
    <w:rsid w:val="00725912"/>
    <w:rsid w:val="00C02CC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Pages>
  <Words>196</Words>
  <Characters>1122</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cp:revision>
  <dcterms:created xsi:type="dcterms:W3CDTF">2020-08-02T19:25:00Z</dcterms:created>
  <dcterms:modified xsi:type="dcterms:W3CDTF">2020-08-03T07:25:00Z</dcterms:modified>
</cp:coreProperties>
</file>